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D3" w:rsidRPr="001306F3" w:rsidRDefault="00B33DD3" w:rsidP="00D94A14">
      <w:pPr>
        <w:jc w:val="both"/>
        <w:rPr>
          <w:rFonts w:ascii="Arial" w:hAnsi="Arial" w:cs="Arial"/>
        </w:rPr>
      </w:pPr>
      <w:r w:rsidRPr="001306F3">
        <w:rPr>
          <w:rFonts w:ascii="Arial" w:hAnsi="Arial" w:cs="Arial"/>
          <w:b/>
        </w:rPr>
        <w:t xml:space="preserve">DATE OF WORK PLAN:  </w:t>
      </w:r>
      <w:r>
        <w:rPr>
          <w:rFonts w:ascii="Arial" w:hAnsi="Arial" w:cs="Arial"/>
        </w:rPr>
        <w:t>May 16,</w:t>
      </w:r>
      <w:r w:rsidRPr="001306F3">
        <w:rPr>
          <w:rFonts w:ascii="Arial" w:hAnsi="Arial" w:cs="Arial"/>
        </w:rPr>
        <w:t xml:space="preserve"> 2011</w:t>
      </w:r>
    </w:p>
    <w:p w:rsidR="00B33DD3" w:rsidRPr="00E30322" w:rsidRDefault="00B33DD3" w:rsidP="00D94A14">
      <w:pPr>
        <w:jc w:val="both"/>
        <w:rPr>
          <w:rFonts w:ascii="Arial" w:hAnsi="Arial" w:cs="Arial"/>
          <w:b/>
        </w:rPr>
      </w:pPr>
    </w:p>
    <w:p w:rsidR="00B33DD3" w:rsidRPr="00E30322" w:rsidRDefault="00B33DD3" w:rsidP="00D94A14">
      <w:pPr>
        <w:tabs>
          <w:tab w:val="right" w:pos="9360"/>
        </w:tabs>
        <w:suppressAutoHyphens/>
        <w:jc w:val="both"/>
      </w:pPr>
      <w:r w:rsidRPr="00E30322">
        <w:rPr>
          <w:rFonts w:ascii="Arial" w:hAnsi="Arial" w:cs="Arial"/>
          <w:b/>
        </w:rPr>
        <w:t xml:space="preserve">PROJECT NAME &amp; ID #:  </w:t>
      </w:r>
      <w:r w:rsidRPr="00E30322">
        <w:rPr>
          <w:rFonts w:ascii="Arial" w:hAnsi="Arial" w:cs="Arial"/>
        </w:rPr>
        <w:t>Van Buren Street, 48</w:t>
      </w:r>
      <w:r w:rsidRPr="00E30322">
        <w:rPr>
          <w:rFonts w:ascii="Arial" w:hAnsi="Arial" w:cs="Arial"/>
          <w:vertAlign w:val="superscript"/>
        </w:rPr>
        <w:t>th</w:t>
      </w:r>
      <w:r w:rsidRPr="00E30322">
        <w:rPr>
          <w:rFonts w:ascii="Arial" w:hAnsi="Arial" w:cs="Arial"/>
        </w:rPr>
        <w:t xml:space="preserve"> Avenue Area Circulation &amp; Access Improvements Phase II</w:t>
      </w:r>
      <w:r>
        <w:rPr>
          <w:rFonts w:ascii="Arial" w:hAnsi="Arial" w:cs="Arial"/>
        </w:rPr>
        <w:t>;</w:t>
      </w:r>
      <w:r w:rsidRPr="00E30322">
        <w:rPr>
          <w:rFonts w:ascii="Arial" w:hAnsi="Arial" w:cs="Arial"/>
        </w:rPr>
        <w:t xml:space="preserve"> Project PM&amp;E #06-13</w:t>
      </w:r>
      <w:r>
        <w:rPr>
          <w:rFonts w:ascii="Arial" w:hAnsi="Arial" w:cs="Arial"/>
        </w:rPr>
        <w:t>, ROW File #C-21-07</w:t>
      </w:r>
    </w:p>
    <w:p w:rsidR="00B33DD3" w:rsidRPr="001306F3" w:rsidRDefault="00B33DD3" w:rsidP="00D94A14">
      <w:pPr>
        <w:jc w:val="both"/>
        <w:rPr>
          <w:rFonts w:ascii="Arial" w:hAnsi="Arial" w:cs="Arial"/>
        </w:rPr>
      </w:pPr>
    </w:p>
    <w:p w:rsidR="00B33DD3" w:rsidRPr="001306F3" w:rsidRDefault="00B33DD3" w:rsidP="00D94A14">
      <w:pPr>
        <w:jc w:val="both"/>
        <w:rPr>
          <w:rFonts w:ascii="Arial" w:hAnsi="Arial" w:cs="Arial"/>
          <w:b/>
        </w:rPr>
      </w:pPr>
      <w:r w:rsidRPr="001306F3">
        <w:rPr>
          <w:rFonts w:ascii="Arial" w:hAnsi="Arial" w:cs="Arial"/>
          <w:b/>
        </w:rPr>
        <w:t>APPRAISAL CLIENT:</w:t>
      </w:r>
      <w:r w:rsidRPr="001306F3">
        <w:rPr>
          <w:rFonts w:ascii="Arial" w:hAnsi="Arial" w:cs="Arial"/>
          <w:b/>
        </w:rPr>
        <w:tab/>
      </w:r>
    </w:p>
    <w:p w:rsidR="00B33DD3" w:rsidRDefault="00B33DD3" w:rsidP="00D94A14">
      <w:pPr>
        <w:jc w:val="both"/>
        <w:rPr>
          <w:rFonts w:ascii="Arial" w:hAnsi="Arial" w:cs="Arial"/>
        </w:rPr>
      </w:pPr>
      <w:r>
        <w:rPr>
          <w:rFonts w:ascii="Arial" w:hAnsi="Arial" w:cs="Arial"/>
        </w:rPr>
        <w:t>Municipality of Anchorage (MOA)</w:t>
      </w:r>
    </w:p>
    <w:p w:rsidR="00B33DD3" w:rsidRDefault="00B33DD3" w:rsidP="00D94A14">
      <w:pPr>
        <w:jc w:val="both"/>
        <w:rPr>
          <w:rFonts w:ascii="Arial" w:hAnsi="Arial" w:cs="Arial"/>
        </w:rPr>
      </w:pPr>
      <w:r w:rsidRPr="001306F3">
        <w:rPr>
          <w:rFonts w:ascii="Arial" w:hAnsi="Arial" w:cs="Arial"/>
        </w:rPr>
        <w:t xml:space="preserve">c/o </w:t>
      </w:r>
      <w:r>
        <w:rPr>
          <w:rFonts w:ascii="Arial" w:hAnsi="Arial" w:cs="Arial"/>
        </w:rPr>
        <w:t>Vicki Gerken, SR/WA</w:t>
      </w:r>
    </w:p>
    <w:p w:rsidR="00B33DD3" w:rsidRPr="001306F3" w:rsidRDefault="00B33DD3" w:rsidP="00D94A14">
      <w:pPr>
        <w:jc w:val="both"/>
        <w:rPr>
          <w:rFonts w:ascii="Arial" w:hAnsi="Arial" w:cs="Arial"/>
        </w:rPr>
      </w:pPr>
      <w:r>
        <w:rPr>
          <w:rFonts w:ascii="Arial" w:hAnsi="Arial" w:cs="Arial"/>
        </w:rPr>
        <w:t>Realty Officer II</w:t>
      </w:r>
    </w:p>
    <w:p w:rsidR="00B33DD3" w:rsidRPr="001306F3" w:rsidRDefault="00B33DD3" w:rsidP="00D94A14">
      <w:pPr>
        <w:jc w:val="both"/>
        <w:rPr>
          <w:rFonts w:ascii="Arial" w:hAnsi="Arial" w:cs="Arial"/>
        </w:rPr>
      </w:pPr>
      <w:r w:rsidRPr="001306F3">
        <w:rPr>
          <w:rFonts w:ascii="Arial" w:hAnsi="Arial" w:cs="Arial"/>
        </w:rPr>
        <w:t>Municipality of Anchorage</w:t>
      </w:r>
      <w:r>
        <w:rPr>
          <w:rFonts w:ascii="Arial" w:hAnsi="Arial" w:cs="Arial"/>
        </w:rPr>
        <w:t>,</w:t>
      </w:r>
      <w:r w:rsidRPr="001306F3">
        <w:rPr>
          <w:rFonts w:ascii="Arial" w:hAnsi="Arial" w:cs="Arial"/>
        </w:rPr>
        <w:t xml:space="preserve"> </w:t>
      </w:r>
      <w:r>
        <w:rPr>
          <w:rFonts w:ascii="Arial" w:hAnsi="Arial" w:cs="Arial"/>
        </w:rPr>
        <w:t>Project Management and Engineering, Survey/ROW Acquisition</w:t>
      </w:r>
    </w:p>
    <w:p w:rsidR="00B33DD3" w:rsidRPr="001306F3" w:rsidRDefault="00B33DD3" w:rsidP="00D94A14">
      <w:pPr>
        <w:jc w:val="both"/>
        <w:rPr>
          <w:rFonts w:ascii="Arial" w:hAnsi="Arial" w:cs="Arial"/>
        </w:rPr>
      </w:pPr>
      <w:r w:rsidRPr="001306F3">
        <w:rPr>
          <w:rFonts w:ascii="Arial" w:hAnsi="Arial" w:cs="Arial"/>
        </w:rPr>
        <w:t>PO Box 196650</w:t>
      </w:r>
    </w:p>
    <w:p w:rsidR="00B33DD3" w:rsidRPr="001306F3" w:rsidRDefault="00B33DD3" w:rsidP="00D94A14">
      <w:pPr>
        <w:jc w:val="both"/>
        <w:rPr>
          <w:rFonts w:ascii="Arial" w:hAnsi="Arial" w:cs="Arial"/>
        </w:rPr>
      </w:pPr>
      <w:r w:rsidRPr="001306F3">
        <w:rPr>
          <w:rFonts w:ascii="Arial" w:hAnsi="Arial" w:cs="Arial"/>
        </w:rPr>
        <w:t>Anchorage, AK  99519-6650</w:t>
      </w:r>
      <w:r w:rsidRPr="001306F3">
        <w:rPr>
          <w:rFonts w:ascii="Arial" w:hAnsi="Arial" w:cs="Arial"/>
        </w:rPr>
        <w:tab/>
      </w:r>
      <w:r w:rsidRPr="001306F3">
        <w:rPr>
          <w:rFonts w:ascii="Arial" w:hAnsi="Arial" w:cs="Arial"/>
        </w:rPr>
        <w:tab/>
      </w:r>
      <w:r w:rsidRPr="001306F3">
        <w:rPr>
          <w:rFonts w:ascii="Arial" w:hAnsi="Arial" w:cs="Arial"/>
        </w:rPr>
        <w:tab/>
      </w:r>
    </w:p>
    <w:p w:rsidR="00B33DD3" w:rsidRPr="004D6632" w:rsidRDefault="00B33DD3" w:rsidP="00D94A14">
      <w:pPr>
        <w:jc w:val="both"/>
        <w:rPr>
          <w:rFonts w:ascii="Arial" w:hAnsi="Arial" w:cs="Arial"/>
          <w:b/>
        </w:rPr>
      </w:pPr>
      <w:r w:rsidRPr="001306F3">
        <w:rPr>
          <w:rFonts w:ascii="Arial" w:hAnsi="Arial" w:cs="Arial"/>
        </w:rPr>
        <w:t xml:space="preserve">TELEPHONE:  </w:t>
      </w:r>
      <w:r>
        <w:rPr>
          <w:rFonts w:ascii="Arial" w:hAnsi="Arial" w:cs="Arial"/>
        </w:rPr>
        <w:t xml:space="preserve">907-343-8187  </w:t>
      </w:r>
      <w:r w:rsidRPr="001306F3">
        <w:rPr>
          <w:rFonts w:ascii="Arial" w:hAnsi="Arial" w:cs="Arial"/>
        </w:rPr>
        <w:t xml:space="preserve">FAX:  </w:t>
      </w:r>
      <w:r>
        <w:rPr>
          <w:rFonts w:ascii="Arial" w:hAnsi="Arial" w:cs="Arial"/>
        </w:rPr>
        <w:t>907-249-7359</w:t>
      </w:r>
      <w:r>
        <w:rPr>
          <w:rFonts w:ascii="Arial" w:hAnsi="Arial" w:cs="Arial"/>
        </w:rPr>
        <w:tab/>
        <w:t>EMAIL: gerkenvl@muni.org</w:t>
      </w:r>
    </w:p>
    <w:p w:rsidR="00B33DD3" w:rsidRPr="001306F3" w:rsidRDefault="00B33DD3" w:rsidP="00D94A14">
      <w:pPr>
        <w:ind w:firstLine="720"/>
        <w:jc w:val="both"/>
        <w:rPr>
          <w:rFonts w:ascii="Arial" w:hAnsi="Arial" w:cs="Arial"/>
        </w:rPr>
      </w:pPr>
    </w:p>
    <w:p w:rsidR="00B33DD3" w:rsidRPr="001306F3" w:rsidRDefault="00B33DD3" w:rsidP="00D94A14">
      <w:pPr>
        <w:tabs>
          <w:tab w:val="left" w:pos="720"/>
          <w:tab w:val="left" w:pos="1440"/>
          <w:tab w:val="left" w:pos="2160"/>
          <w:tab w:val="left" w:pos="2880"/>
          <w:tab w:val="left" w:pos="6885"/>
        </w:tabs>
        <w:jc w:val="both"/>
        <w:rPr>
          <w:rFonts w:ascii="Arial" w:hAnsi="Arial" w:cs="Arial"/>
          <w:b/>
        </w:rPr>
      </w:pPr>
      <w:r>
        <w:rPr>
          <w:rFonts w:ascii="Arial" w:hAnsi="Arial" w:cs="Arial"/>
          <w:b/>
        </w:rPr>
        <w:t>PROPERTY OWNER:</w:t>
      </w:r>
    </w:p>
    <w:p w:rsidR="00B33DD3" w:rsidRPr="001306F3" w:rsidRDefault="00B33DD3" w:rsidP="00D94A14">
      <w:pPr>
        <w:jc w:val="both"/>
        <w:rPr>
          <w:rFonts w:ascii="Arial" w:hAnsi="Arial" w:cs="Arial"/>
        </w:rPr>
      </w:pPr>
      <w:r w:rsidRPr="001306F3">
        <w:rPr>
          <w:rFonts w:ascii="Arial" w:hAnsi="Arial" w:cs="Arial"/>
        </w:rPr>
        <w:t>Municipality of Anchorage (MOA)</w:t>
      </w:r>
    </w:p>
    <w:p w:rsidR="00B33DD3" w:rsidRPr="001306F3" w:rsidRDefault="00B33DD3" w:rsidP="00D94A14">
      <w:pPr>
        <w:jc w:val="both"/>
        <w:rPr>
          <w:rFonts w:ascii="Arial" w:hAnsi="Arial" w:cs="Arial"/>
        </w:rPr>
      </w:pPr>
      <w:r w:rsidRPr="001306F3">
        <w:rPr>
          <w:rFonts w:ascii="Arial" w:hAnsi="Arial" w:cs="Arial"/>
        </w:rPr>
        <w:t>c/o Tom Korosei</w:t>
      </w:r>
    </w:p>
    <w:p w:rsidR="00B33DD3" w:rsidRPr="001306F3" w:rsidRDefault="00B33DD3" w:rsidP="00D94A14">
      <w:pPr>
        <w:jc w:val="both"/>
        <w:rPr>
          <w:rFonts w:ascii="Arial" w:hAnsi="Arial" w:cs="Arial"/>
        </w:rPr>
      </w:pPr>
      <w:r w:rsidRPr="001306F3">
        <w:rPr>
          <w:rFonts w:ascii="Arial" w:hAnsi="Arial" w:cs="Arial"/>
        </w:rPr>
        <w:t>Planner, Landscape Architect</w:t>
      </w:r>
    </w:p>
    <w:p w:rsidR="00B33DD3" w:rsidRPr="001306F3" w:rsidRDefault="00B33DD3" w:rsidP="00D94A14">
      <w:pPr>
        <w:jc w:val="both"/>
        <w:rPr>
          <w:rFonts w:ascii="Arial" w:hAnsi="Arial" w:cs="Arial"/>
        </w:rPr>
      </w:pPr>
      <w:r w:rsidRPr="001306F3">
        <w:rPr>
          <w:rFonts w:ascii="Arial" w:hAnsi="Arial" w:cs="Arial"/>
        </w:rPr>
        <w:t>Municipality of Anchorage</w:t>
      </w:r>
      <w:r>
        <w:rPr>
          <w:rFonts w:ascii="Arial" w:hAnsi="Arial" w:cs="Arial"/>
        </w:rPr>
        <w:t>,</w:t>
      </w:r>
      <w:r w:rsidRPr="001306F3">
        <w:rPr>
          <w:rFonts w:ascii="Arial" w:hAnsi="Arial" w:cs="Arial"/>
        </w:rPr>
        <w:t xml:space="preserve"> Parks and Recreation</w:t>
      </w:r>
    </w:p>
    <w:p w:rsidR="00B33DD3" w:rsidRPr="001306F3" w:rsidRDefault="00B33DD3" w:rsidP="00D94A14">
      <w:pPr>
        <w:jc w:val="both"/>
        <w:rPr>
          <w:rFonts w:ascii="Arial" w:hAnsi="Arial" w:cs="Arial"/>
        </w:rPr>
      </w:pPr>
      <w:r w:rsidRPr="001306F3">
        <w:rPr>
          <w:rFonts w:ascii="Arial" w:hAnsi="Arial" w:cs="Arial"/>
        </w:rPr>
        <w:t>PO Box 196650</w:t>
      </w:r>
    </w:p>
    <w:p w:rsidR="00B33DD3" w:rsidRPr="001306F3" w:rsidRDefault="00B33DD3" w:rsidP="00D94A14">
      <w:pPr>
        <w:jc w:val="both"/>
        <w:rPr>
          <w:rFonts w:ascii="Arial" w:hAnsi="Arial" w:cs="Arial"/>
        </w:rPr>
      </w:pPr>
      <w:r w:rsidRPr="001306F3">
        <w:rPr>
          <w:rFonts w:ascii="Arial" w:hAnsi="Arial" w:cs="Arial"/>
        </w:rPr>
        <w:t>Anchorage, AK  99519-6650</w:t>
      </w:r>
      <w:r w:rsidRPr="001306F3">
        <w:rPr>
          <w:rFonts w:ascii="Arial" w:hAnsi="Arial" w:cs="Arial"/>
        </w:rPr>
        <w:tab/>
      </w:r>
      <w:r w:rsidRPr="001306F3">
        <w:rPr>
          <w:rFonts w:ascii="Arial" w:hAnsi="Arial" w:cs="Arial"/>
        </w:rPr>
        <w:tab/>
      </w:r>
    </w:p>
    <w:p w:rsidR="00B33DD3" w:rsidRPr="004D6632" w:rsidRDefault="00B33DD3" w:rsidP="00D94A14">
      <w:pPr>
        <w:jc w:val="both"/>
        <w:rPr>
          <w:rFonts w:ascii="Arial" w:hAnsi="Arial" w:cs="Arial"/>
          <w:b/>
        </w:rPr>
      </w:pPr>
      <w:r w:rsidRPr="001306F3">
        <w:rPr>
          <w:rFonts w:ascii="Arial" w:hAnsi="Arial" w:cs="Arial"/>
        </w:rPr>
        <w:t>TELEPHONE:  907-343-4503</w:t>
      </w:r>
      <w:r>
        <w:rPr>
          <w:rFonts w:ascii="Arial" w:hAnsi="Arial" w:cs="Arial"/>
        </w:rPr>
        <w:t xml:space="preserve">   FAX:  907-278-6595</w:t>
      </w:r>
      <w:r>
        <w:rPr>
          <w:rFonts w:ascii="Arial" w:hAnsi="Arial" w:cs="Arial"/>
        </w:rPr>
        <w:tab/>
        <w:t xml:space="preserve">EMAIL: </w:t>
      </w:r>
      <w:r w:rsidRPr="001306F3">
        <w:rPr>
          <w:rFonts w:ascii="Arial" w:hAnsi="Arial" w:cs="Arial"/>
        </w:rPr>
        <w:t>koroseitj@</w:t>
      </w:r>
      <w:r>
        <w:rPr>
          <w:rFonts w:ascii="Arial" w:hAnsi="Arial" w:cs="Arial"/>
        </w:rPr>
        <w:t>muni.org</w:t>
      </w:r>
    </w:p>
    <w:p w:rsidR="00B33DD3" w:rsidRDefault="00B33DD3" w:rsidP="00D94A14">
      <w:pPr>
        <w:jc w:val="both"/>
        <w:rPr>
          <w:rFonts w:ascii="Arial" w:hAnsi="Arial" w:cs="Arial"/>
          <w:b/>
        </w:rPr>
      </w:pPr>
    </w:p>
    <w:p w:rsidR="00B33DD3" w:rsidRDefault="00B33DD3" w:rsidP="00D94A14">
      <w:pPr>
        <w:jc w:val="both"/>
        <w:rPr>
          <w:rFonts w:ascii="Arial" w:hAnsi="Arial" w:cs="Arial"/>
        </w:rPr>
      </w:pPr>
      <w:r w:rsidRPr="001306F3">
        <w:rPr>
          <w:rFonts w:ascii="Arial" w:hAnsi="Arial" w:cs="Arial"/>
          <w:b/>
        </w:rPr>
        <w:t xml:space="preserve">PROJECT BACKGROUND:   </w:t>
      </w:r>
      <w:r>
        <w:rPr>
          <w:rFonts w:ascii="Arial" w:hAnsi="Arial" w:cs="Arial"/>
        </w:rPr>
        <w:t>MOA</w:t>
      </w:r>
      <w:r w:rsidRPr="001306F3">
        <w:rPr>
          <w:rFonts w:ascii="Arial" w:hAnsi="Arial" w:cs="Arial"/>
        </w:rPr>
        <w:t xml:space="preserve"> is upgrading </w:t>
      </w:r>
      <w:r>
        <w:rPr>
          <w:rFonts w:ascii="Arial" w:hAnsi="Arial" w:cs="Arial"/>
        </w:rPr>
        <w:t>Van Buren and 48</w:t>
      </w:r>
      <w:r w:rsidRPr="00983910">
        <w:rPr>
          <w:rFonts w:ascii="Arial" w:hAnsi="Arial" w:cs="Arial"/>
          <w:vertAlign w:val="superscript"/>
        </w:rPr>
        <w:t>th</w:t>
      </w:r>
      <w:r>
        <w:rPr>
          <w:rFonts w:ascii="Arial" w:hAnsi="Arial" w:cs="Arial"/>
        </w:rPr>
        <w:t xml:space="preserve"> Avenue Area</w:t>
      </w:r>
      <w:r w:rsidRPr="001306F3">
        <w:rPr>
          <w:rFonts w:ascii="Arial" w:hAnsi="Arial" w:cs="Arial"/>
        </w:rPr>
        <w:t xml:space="preserve">.  The upgrade includes </w:t>
      </w:r>
      <w:r>
        <w:rPr>
          <w:rFonts w:ascii="Arial" w:hAnsi="Arial" w:cs="Arial"/>
        </w:rPr>
        <w:t>relocating a soccer field and development of an off street parking area.  The land exchange involves a land exchange of a portion of the Brotherhood/Sisterhood Park</w:t>
      </w:r>
      <w:r w:rsidRPr="001306F3">
        <w:rPr>
          <w:rFonts w:ascii="Arial" w:hAnsi="Arial" w:cs="Arial"/>
        </w:rPr>
        <w:t xml:space="preserve">, which is owned by the </w:t>
      </w:r>
      <w:r>
        <w:rPr>
          <w:rFonts w:ascii="Arial" w:hAnsi="Arial" w:cs="Arial"/>
        </w:rPr>
        <w:t>MOA</w:t>
      </w:r>
      <w:r w:rsidRPr="001306F3">
        <w:rPr>
          <w:rFonts w:ascii="Arial" w:hAnsi="Arial" w:cs="Arial"/>
        </w:rPr>
        <w:t xml:space="preserve"> and managed by the MOA Department of Parks and Recreation</w:t>
      </w:r>
      <w:r>
        <w:rPr>
          <w:rFonts w:ascii="Arial" w:hAnsi="Arial" w:cs="Arial"/>
        </w:rPr>
        <w:t xml:space="preserve"> and a portion of private land owned by Orbus, Inc., a subsidiary of American Fast Freight (AFF).</w:t>
      </w:r>
      <w:r w:rsidRPr="001306F3">
        <w:rPr>
          <w:rFonts w:ascii="Arial" w:hAnsi="Arial" w:cs="Arial"/>
        </w:rPr>
        <w:t xml:space="preserve"> </w:t>
      </w:r>
    </w:p>
    <w:p w:rsidR="00B33DD3" w:rsidRDefault="00B33DD3" w:rsidP="00D94A14">
      <w:pPr>
        <w:jc w:val="both"/>
        <w:rPr>
          <w:rFonts w:ascii="Arial" w:hAnsi="Arial" w:cs="Arial"/>
        </w:rPr>
      </w:pPr>
    </w:p>
    <w:p w:rsidR="00B33DD3" w:rsidRDefault="00B33DD3" w:rsidP="00D94A14">
      <w:pPr>
        <w:jc w:val="both"/>
        <w:rPr>
          <w:rFonts w:ascii="Arial" w:hAnsi="Arial" w:cs="Arial"/>
        </w:rPr>
      </w:pPr>
      <w:r w:rsidRPr="001306F3">
        <w:rPr>
          <w:rFonts w:ascii="Arial" w:hAnsi="Arial" w:cs="Arial"/>
        </w:rPr>
        <w:t xml:space="preserve">Because the </w:t>
      </w:r>
      <w:r>
        <w:rPr>
          <w:rFonts w:ascii="Arial" w:hAnsi="Arial" w:cs="Arial"/>
        </w:rPr>
        <w:t>park</w:t>
      </w:r>
      <w:r w:rsidRPr="001306F3">
        <w:rPr>
          <w:rFonts w:ascii="Arial" w:hAnsi="Arial" w:cs="Arial"/>
        </w:rPr>
        <w:t xml:space="preserve"> is subject to Section 6(f) of the Federal Land and Water Conservation Act (LWCF), </w:t>
      </w:r>
      <w:r>
        <w:rPr>
          <w:rFonts w:ascii="Arial" w:hAnsi="Arial" w:cs="Arial"/>
        </w:rPr>
        <w:t>MOA</w:t>
      </w:r>
      <w:r w:rsidRPr="001306F3">
        <w:rPr>
          <w:rFonts w:ascii="Arial" w:hAnsi="Arial" w:cs="Arial"/>
        </w:rPr>
        <w:t xml:space="preserve"> must provide “replacement land” for </w:t>
      </w:r>
      <w:r>
        <w:rPr>
          <w:rFonts w:ascii="Arial" w:hAnsi="Arial" w:cs="Arial"/>
        </w:rPr>
        <w:t xml:space="preserve">the park </w:t>
      </w:r>
      <w:r w:rsidRPr="001306F3">
        <w:rPr>
          <w:rFonts w:ascii="Arial" w:hAnsi="Arial" w:cs="Arial"/>
        </w:rPr>
        <w:t>land</w:t>
      </w:r>
      <w:r>
        <w:rPr>
          <w:rFonts w:ascii="Arial" w:hAnsi="Arial" w:cs="Arial"/>
        </w:rPr>
        <w:t>s</w:t>
      </w:r>
      <w:r w:rsidRPr="001306F3">
        <w:rPr>
          <w:rFonts w:ascii="Arial" w:hAnsi="Arial" w:cs="Arial"/>
        </w:rPr>
        <w:t xml:space="preserve"> </w:t>
      </w:r>
      <w:r>
        <w:rPr>
          <w:rFonts w:ascii="Arial" w:hAnsi="Arial" w:cs="Arial"/>
        </w:rPr>
        <w:t>that are to be converted to a non-recreational use</w:t>
      </w:r>
      <w:r w:rsidRPr="001306F3">
        <w:rPr>
          <w:rFonts w:ascii="Arial" w:hAnsi="Arial" w:cs="Arial"/>
        </w:rPr>
        <w:t xml:space="preserve">.  Appraisals are required to show that the market value of the replacement property (“replacement land”) equals or exceeds the value of the property acquired for </w:t>
      </w:r>
      <w:r>
        <w:rPr>
          <w:rFonts w:ascii="Arial" w:hAnsi="Arial" w:cs="Arial"/>
        </w:rPr>
        <w:t>community</w:t>
      </w:r>
      <w:r w:rsidRPr="001306F3">
        <w:rPr>
          <w:rFonts w:ascii="Arial" w:hAnsi="Arial" w:cs="Arial"/>
        </w:rPr>
        <w:t xml:space="preserve"> use (“converted lands”).  The </w:t>
      </w:r>
      <w:r>
        <w:rPr>
          <w:rFonts w:ascii="Arial" w:hAnsi="Arial" w:cs="Arial"/>
        </w:rPr>
        <w:t xml:space="preserve">State of </w:t>
      </w:r>
      <w:r w:rsidRPr="001306F3">
        <w:rPr>
          <w:rFonts w:ascii="Arial" w:hAnsi="Arial" w:cs="Arial"/>
        </w:rPr>
        <w:t>Alaska</w:t>
      </w:r>
      <w:r>
        <w:rPr>
          <w:rFonts w:ascii="Arial" w:hAnsi="Arial" w:cs="Arial"/>
        </w:rPr>
        <w:t>,</w:t>
      </w:r>
      <w:r w:rsidRPr="001306F3">
        <w:rPr>
          <w:rFonts w:ascii="Arial" w:hAnsi="Arial" w:cs="Arial"/>
        </w:rPr>
        <w:t xml:space="preserve"> Department of Natural Resources (DNR) and the National Park Service (NPS) administer the LWCF program and must approve the exchange.</w:t>
      </w:r>
    </w:p>
    <w:p w:rsidR="00B33DD3" w:rsidRDefault="00B33DD3" w:rsidP="00D94A14">
      <w:pPr>
        <w:jc w:val="both"/>
        <w:rPr>
          <w:rFonts w:ascii="Arial" w:hAnsi="Arial" w:cs="Arial"/>
        </w:rPr>
      </w:pPr>
    </w:p>
    <w:p w:rsidR="00B33DD3" w:rsidRPr="001306F3" w:rsidRDefault="00B33DD3" w:rsidP="00D94A14">
      <w:pPr>
        <w:jc w:val="both"/>
        <w:rPr>
          <w:rFonts w:ascii="Arial" w:hAnsi="Arial" w:cs="Arial"/>
          <w:b/>
        </w:rPr>
      </w:pPr>
      <w:r>
        <w:rPr>
          <w:rFonts w:ascii="Arial" w:hAnsi="Arial" w:cs="Arial"/>
        </w:rPr>
        <w:t xml:space="preserve">Construction of the project as designed requires the exchange of 1.90 acres of the south portion of Tract 4, Crossroads Business Park, according to Plat 86-88, Anchorage Recording District, Anchorage, Alaska (owned by the MOA), for 2.73 acres of Tract 5B-1, Crossroads Business Park, according </w:t>
      </w:r>
      <w:r w:rsidRPr="001E6401">
        <w:rPr>
          <w:rFonts w:ascii="Arial" w:hAnsi="Arial" w:cs="Arial"/>
        </w:rPr>
        <w:t>to Plat 2002-73,</w:t>
      </w:r>
      <w:r>
        <w:rPr>
          <w:rFonts w:ascii="Arial" w:hAnsi="Arial" w:cs="Arial"/>
        </w:rPr>
        <w:t xml:space="preserve"> Anchorage Recording District, Anchorage, Alaska (owned by Orbus/AFF), immediately to the west. The soccer field will be relocated west onto the land received from AFF and the north portion of Tract 4 will be developed into a dedicated parking area for the soccer field. The land exchange was approved by voters in the April 6, 2010 Municipal election. Re-zoning of the exchanged lands was approved by Municipal Assembly on January 12, 2010.</w:t>
      </w:r>
    </w:p>
    <w:p w:rsidR="00B33DD3" w:rsidRPr="001306F3" w:rsidRDefault="00B33DD3" w:rsidP="00D94A14">
      <w:pPr>
        <w:jc w:val="both"/>
        <w:rPr>
          <w:rFonts w:ascii="Arial" w:hAnsi="Arial" w:cs="Arial"/>
          <w:b/>
        </w:rPr>
      </w:pPr>
    </w:p>
    <w:p w:rsidR="00B33DD3" w:rsidRPr="001306F3" w:rsidRDefault="00B33DD3" w:rsidP="00D94A14">
      <w:pPr>
        <w:jc w:val="both"/>
        <w:rPr>
          <w:rFonts w:ascii="Arial" w:hAnsi="Arial" w:cs="Arial"/>
        </w:rPr>
      </w:pPr>
      <w:r w:rsidRPr="001306F3">
        <w:rPr>
          <w:rFonts w:ascii="Arial" w:hAnsi="Arial" w:cs="Arial"/>
          <w:b/>
        </w:rPr>
        <w:t xml:space="preserve">INTENDED USER:  </w:t>
      </w:r>
      <w:r w:rsidRPr="001306F3">
        <w:rPr>
          <w:rFonts w:ascii="Arial" w:hAnsi="Arial" w:cs="Arial"/>
        </w:rPr>
        <w:t xml:space="preserve">MOA, </w:t>
      </w:r>
      <w:r>
        <w:rPr>
          <w:rFonts w:ascii="Arial" w:hAnsi="Arial" w:cs="Arial"/>
        </w:rPr>
        <w:t xml:space="preserve">DOWL HKM, </w:t>
      </w:r>
      <w:r w:rsidRPr="001306F3">
        <w:rPr>
          <w:rFonts w:ascii="Arial" w:hAnsi="Arial" w:cs="Arial"/>
        </w:rPr>
        <w:t>DNR, and NPS will use the appraisal(s) as part of the land exchange process required by the LWCF program.</w:t>
      </w:r>
    </w:p>
    <w:p w:rsidR="00B33DD3" w:rsidRPr="001306F3" w:rsidRDefault="00B33DD3" w:rsidP="00D94A14">
      <w:pPr>
        <w:jc w:val="both"/>
        <w:rPr>
          <w:rFonts w:ascii="Arial" w:hAnsi="Arial" w:cs="Arial"/>
        </w:rPr>
      </w:pPr>
    </w:p>
    <w:p w:rsidR="00B33DD3" w:rsidRPr="00FA64A3" w:rsidRDefault="00B33DD3" w:rsidP="00D94A14">
      <w:pPr>
        <w:jc w:val="both"/>
        <w:rPr>
          <w:rFonts w:ascii="Arial" w:hAnsi="Arial" w:cs="Arial"/>
        </w:rPr>
      </w:pPr>
      <w:r w:rsidRPr="001306F3">
        <w:rPr>
          <w:rFonts w:ascii="Arial" w:hAnsi="Arial" w:cs="Arial"/>
          <w:b/>
        </w:rPr>
        <w:t>INTENDED USE:</w:t>
      </w:r>
      <w:r>
        <w:rPr>
          <w:rFonts w:ascii="Arial" w:hAnsi="Arial" w:cs="Arial"/>
          <w:b/>
        </w:rPr>
        <w:t xml:space="preserve">  </w:t>
      </w:r>
      <w:r>
        <w:rPr>
          <w:rFonts w:ascii="Arial" w:hAnsi="Arial" w:cs="Arial"/>
        </w:rPr>
        <w:t>The appraisal(s) will provide independent opinions of the market values of the conversion and replacement properties.  The appraisal(s) will become part of the LWCF exchange application package and will allow the NPS to evaluate whether the proposed exchange satisfies</w:t>
      </w:r>
      <w:r w:rsidRPr="001306F3">
        <w:rPr>
          <w:rFonts w:ascii="Arial" w:hAnsi="Arial" w:cs="Arial"/>
        </w:rPr>
        <w:t xml:space="preserve"> the LWCF requirement</w:t>
      </w:r>
      <w:r>
        <w:rPr>
          <w:rFonts w:ascii="Arial" w:hAnsi="Arial" w:cs="Arial"/>
        </w:rPr>
        <w:t xml:space="preserve"> that the market value of the replacement land equals or exceeds the market value of the converted land.  No other use is intended.</w:t>
      </w:r>
    </w:p>
    <w:p w:rsidR="00B33DD3" w:rsidRPr="004D6632" w:rsidRDefault="00B33DD3" w:rsidP="00D94A14">
      <w:pPr>
        <w:jc w:val="both"/>
        <w:rPr>
          <w:rFonts w:ascii="Arial" w:hAnsi="Arial" w:cs="Arial"/>
        </w:rPr>
      </w:pPr>
    </w:p>
    <w:p w:rsidR="00B33DD3" w:rsidRDefault="00B33DD3" w:rsidP="00D94A14">
      <w:pPr>
        <w:jc w:val="both"/>
        <w:rPr>
          <w:rFonts w:ascii="Arial" w:hAnsi="Arial" w:cs="Arial"/>
        </w:rPr>
      </w:pPr>
      <w:r>
        <w:rPr>
          <w:rFonts w:ascii="Arial" w:hAnsi="Arial" w:cs="Arial"/>
          <w:b/>
        </w:rPr>
        <w:t xml:space="preserve">ASSIGNMENT CONDITIONS:  </w:t>
      </w:r>
      <w:r>
        <w:rPr>
          <w:rFonts w:ascii="Arial" w:hAnsi="Arial" w:cs="Arial"/>
        </w:rPr>
        <w:t>Complete a self-contained appraisal in compliance with the following:</w:t>
      </w:r>
    </w:p>
    <w:p w:rsidR="00B33DD3" w:rsidRDefault="00B33DD3" w:rsidP="00D94A14">
      <w:pPr>
        <w:jc w:val="both"/>
        <w:rPr>
          <w:rFonts w:ascii="Arial" w:hAnsi="Arial" w:cs="Arial"/>
        </w:rPr>
      </w:pPr>
    </w:p>
    <w:p w:rsidR="00B33DD3" w:rsidRDefault="00B33DD3" w:rsidP="00D94A14">
      <w:pPr>
        <w:pStyle w:val="ListParagraph"/>
        <w:numPr>
          <w:ilvl w:val="0"/>
          <w:numId w:val="2"/>
        </w:numPr>
        <w:jc w:val="both"/>
        <w:rPr>
          <w:rFonts w:ascii="Arial" w:hAnsi="Arial" w:cs="Arial"/>
          <w:i/>
        </w:rPr>
      </w:pPr>
      <w:r>
        <w:rPr>
          <w:rFonts w:ascii="Arial" w:hAnsi="Arial" w:cs="Arial"/>
          <w:i/>
        </w:rPr>
        <w:t>C</w:t>
      </w:r>
      <w:r w:rsidRPr="009C23BF">
        <w:rPr>
          <w:rFonts w:ascii="Arial" w:hAnsi="Arial" w:cs="Arial"/>
          <w:i/>
        </w:rPr>
        <w:t>hapter 4 of the Federal Financial Assistance Manual Volume 69 for the Land and Water Conservation Fund State Assistance Pro</w:t>
      </w:r>
      <w:r>
        <w:rPr>
          <w:rFonts w:ascii="Arial" w:hAnsi="Arial" w:cs="Arial"/>
          <w:i/>
        </w:rPr>
        <w:t xml:space="preserve">gram, effective October 1, 2008 </w:t>
      </w:r>
      <w:r>
        <w:rPr>
          <w:rFonts w:ascii="Arial" w:hAnsi="Arial" w:cs="Arial"/>
        </w:rPr>
        <w:t>(LWCF manual)</w:t>
      </w:r>
    </w:p>
    <w:p w:rsidR="00B33DD3" w:rsidRDefault="00B33DD3" w:rsidP="00D94A14">
      <w:pPr>
        <w:pStyle w:val="ListParagraph"/>
        <w:numPr>
          <w:ilvl w:val="0"/>
          <w:numId w:val="2"/>
        </w:numPr>
        <w:jc w:val="both"/>
        <w:rPr>
          <w:rFonts w:ascii="Arial" w:hAnsi="Arial" w:cs="Arial"/>
          <w:i/>
        </w:rPr>
      </w:pPr>
      <w:r>
        <w:rPr>
          <w:rFonts w:ascii="Arial" w:hAnsi="Arial" w:cs="Arial"/>
          <w:i/>
        </w:rPr>
        <w:t>Uniform Appraisal Standards for Federal Land Acquisitions 2000 (UASFLA)</w:t>
      </w:r>
    </w:p>
    <w:p w:rsidR="00B33DD3" w:rsidRPr="009C23BF" w:rsidRDefault="00B33DD3" w:rsidP="00D94A14">
      <w:pPr>
        <w:pStyle w:val="ListParagraph"/>
        <w:numPr>
          <w:ilvl w:val="0"/>
          <w:numId w:val="2"/>
        </w:numPr>
        <w:jc w:val="both"/>
        <w:rPr>
          <w:rFonts w:ascii="Arial" w:hAnsi="Arial" w:cs="Arial"/>
          <w:i/>
        </w:rPr>
      </w:pPr>
      <w:r>
        <w:rPr>
          <w:rFonts w:ascii="Arial" w:hAnsi="Arial" w:cs="Arial"/>
          <w:i/>
        </w:rPr>
        <w:t xml:space="preserve">Uniform Standards of Professional Appraisal Practice, 2010-2011 </w:t>
      </w:r>
      <w:r>
        <w:rPr>
          <w:rFonts w:ascii="Arial" w:hAnsi="Arial" w:cs="Arial"/>
        </w:rPr>
        <w:t>(USPAP)</w:t>
      </w:r>
    </w:p>
    <w:p w:rsidR="00B33DD3" w:rsidRDefault="00B33DD3" w:rsidP="00D94A14">
      <w:pPr>
        <w:jc w:val="both"/>
        <w:rPr>
          <w:rFonts w:ascii="Arial" w:hAnsi="Arial" w:cs="Arial"/>
        </w:rPr>
      </w:pPr>
    </w:p>
    <w:p w:rsidR="00B33DD3" w:rsidRDefault="00B33DD3" w:rsidP="00D94A14">
      <w:pPr>
        <w:jc w:val="both"/>
        <w:rPr>
          <w:rFonts w:ascii="Arial" w:hAnsi="Arial" w:cs="Arial"/>
        </w:rPr>
      </w:pPr>
      <w:r>
        <w:rPr>
          <w:rFonts w:ascii="Arial" w:hAnsi="Arial" w:cs="Arial"/>
        </w:rPr>
        <w:t xml:space="preserve">The above standards are listed in order of precedence to be followed in cases where conflicting provisions exist. </w:t>
      </w:r>
    </w:p>
    <w:p w:rsidR="00B33DD3" w:rsidRPr="009C23BF" w:rsidRDefault="00B33DD3" w:rsidP="00D94A14">
      <w:pPr>
        <w:jc w:val="both"/>
        <w:rPr>
          <w:rFonts w:ascii="Arial" w:hAnsi="Arial" w:cs="Arial"/>
        </w:rPr>
      </w:pPr>
    </w:p>
    <w:p w:rsidR="00B33DD3" w:rsidRPr="00FA64A3" w:rsidRDefault="00B33DD3" w:rsidP="00D94A14">
      <w:pPr>
        <w:jc w:val="both"/>
        <w:rPr>
          <w:rFonts w:ascii="Arial" w:hAnsi="Arial" w:cs="Arial"/>
        </w:rPr>
      </w:pPr>
      <w:r w:rsidRPr="004D6632">
        <w:rPr>
          <w:rFonts w:ascii="Arial" w:hAnsi="Arial" w:cs="Arial"/>
          <w:b/>
        </w:rPr>
        <w:t xml:space="preserve">TITLE INTEREST TO BE APPRAISED:  </w:t>
      </w:r>
      <w:r>
        <w:rPr>
          <w:rFonts w:ascii="Arial" w:hAnsi="Arial" w:cs="Arial"/>
        </w:rPr>
        <w:t xml:space="preserve">The </w:t>
      </w:r>
      <w:r w:rsidRPr="001306F3">
        <w:rPr>
          <w:rFonts w:ascii="Arial" w:hAnsi="Arial" w:cs="Arial"/>
        </w:rPr>
        <w:t xml:space="preserve">appraisal(s) involve </w:t>
      </w:r>
      <w:r>
        <w:rPr>
          <w:rFonts w:ascii="Arial" w:hAnsi="Arial" w:cs="Arial"/>
        </w:rPr>
        <w:t>fee title interest</w:t>
      </w:r>
      <w:r w:rsidRPr="001306F3">
        <w:rPr>
          <w:rFonts w:ascii="Arial" w:hAnsi="Arial" w:cs="Arial"/>
        </w:rPr>
        <w:t xml:space="preserve">.  See the attached Table A for a summary.  </w:t>
      </w:r>
      <w:r>
        <w:rPr>
          <w:rFonts w:ascii="Arial" w:hAnsi="Arial" w:cs="Arial"/>
        </w:rPr>
        <w:t>MOA</w:t>
      </w:r>
      <w:r w:rsidRPr="001306F3">
        <w:rPr>
          <w:rFonts w:ascii="Arial" w:hAnsi="Arial" w:cs="Arial"/>
        </w:rPr>
        <w:t xml:space="preserve"> will provide maps</w:t>
      </w:r>
      <w:r>
        <w:rPr>
          <w:rFonts w:ascii="Arial" w:hAnsi="Arial" w:cs="Arial"/>
        </w:rPr>
        <w:t xml:space="preserve"> and language to the appraiser.  </w:t>
      </w:r>
    </w:p>
    <w:p w:rsidR="00B33DD3" w:rsidRDefault="00B33DD3" w:rsidP="00D94A14">
      <w:pPr>
        <w:jc w:val="both"/>
        <w:rPr>
          <w:rFonts w:ascii="Arial" w:hAnsi="Arial" w:cs="Arial"/>
          <w:b/>
        </w:rPr>
      </w:pPr>
    </w:p>
    <w:p w:rsidR="00B33DD3" w:rsidRDefault="00B33DD3" w:rsidP="00D94A14">
      <w:pPr>
        <w:jc w:val="both"/>
        <w:rPr>
          <w:rFonts w:ascii="Arial" w:hAnsi="Arial" w:cs="Arial"/>
          <w:b/>
        </w:rPr>
      </w:pPr>
      <w:r w:rsidRPr="004D6632">
        <w:rPr>
          <w:rFonts w:ascii="Arial" w:hAnsi="Arial" w:cs="Arial"/>
          <w:b/>
        </w:rPr>
        <w:t xml:space="preserve">TYPE OF VALUE AND VALUE DEFINITIONS:  </w:t>
      </w:r>
    </w:p>
    <w:p w:rsidR="00B33DD3" w:rsidRDefault="00B33DD3" w:rsidP="00D94A14">
      <w:pPr>
        <w:jc w:val="both"/>
        <w:rPr>
          <w:b/>
        </w:rPr>
      </w:pPr>
    </w:p>
    <w:p w:rsidR="00B33DD3" w:rsidRPr="00D10430" w:rsidRDefault="00B33DD3" w:rsidP="00D94A14">
      <w:pPr>
        <w:pStyle w:val="Style1"/>
        <w:jc w:val="both"/>
      </w:pPr>
      <w:r w:rsidRPr="00D10430">
        <w:rPr>
          <w:b/>
        </w:rPr>
        <w:t>Market Value</w:t>
      </w:r>
      <w:r w:rsidRPr="00D10430">
        <w:t xml:space="preserve"> is </w:t>
      </w:r>
      <w:r>
        <w:t xml:space="preserve">defined in the 2000 Edition of the </w:t>
      </w:r>
      <w:r>
        <w:rPr>
          <w:i/>
        </w:rPr>
        <w:t>Uniform Appraisal Standards for Federal Land Acquisitions</w:t>
      </w:r>
      <w:r>
        <w:t xml:space="preserve"> (UASFLA)</w:t>
      </w:r>
      <w:r w:rsidRPr="00D10430">
        <w:t>:</w:t>
      </w:r>
    </w:p>
    <w:p w:rsidR="00B33DD3" w:rsidRPr="00D10430" w:rsidRDefault="00B33DD3" w:rsidP="00D94A14">
      <w:pPr>
        <w:pStyle w:val="Style1"/>
        <w:jc w:val="both"/>
      </w:pPr>
    </w:p>
    <w:p w:rsidR="00B33DD3" w:rsidRPr="00055838" w:rsidRDefault="00B33DD3" w:rsidP="00D94A14">
      <w:pPr>
        <w:pStyle w:val="Style1"/>
        <w:ind w:left="720"/>
        <w:jc w:val="both"/>
        <w:rPr>
          <w:rFonts w:cs="Arial"/>
        </w:rPr>
      </w:pPr>
      <w:r>
        <w:rPr>
          <w:i/>
        </w:rPr>
        <w:t>Market value is t</w:t>
      </w:r>
      <w:r w:rsidRPr="00D10430">
        <w:rPr>
          <w:i/>
        </w:rPr>
        <w:t>he amount in cash, or in terms reasonably equivalent to cash, for which in all probability the property would have sold on the date of appraisal, after a reasonable exposure time on the open competitive market, from a willing and reasonably knowledgeable seller to a willing and reasonably knowledgeable buyer, with neither acting under any compulsion to buy or sell, giving due consideration to all available economic uses of the property at the time of appraisal.</w:t>
      </w:r>
      <w:r>
        <w:rPr>
          <w:rStyle w:val="FootnoteReference"/>
          <w:i/>
        </w:rPr>
        <w:footnoteReference w:id="1"/>
      </w:r>
    </w:p>
    <w:p w:rsidR="00B33DD3" w:rsidRDefault="00B33DD3" w:rsidP="00D94A14">
      <w:pPr>
        <w:pStyle w:val="Style1"/>
        <w:jc w:val="both"/>
      </w:pPr>
    </w:p>
    <w:p w:rsidR="00B33DD3" w:rsidRDefault="00B33DD3" w:rsidP="00D94A14">
      <w:pPr>
        <w:pStyle w:val="Style1"/>
        <w:jc w:val="both"/>
      </w:pPr>
      <w:r>
        <w:t>The current 2010-2011 edition of USPAP describes market value in general terms and cautions the appraiser to “…identify the exact definition of market value, and its authority, applicable in each appraisal completed for the purpose of market value.”</w:t>
      </w:r>
    </w:p>
    <w:p w:rsidR="00B33DD3" w:rsidRDefault="00B33DD3" w:rsidP="00D94A14">
      <w:pPr>
        <w:pStyle w:val="Style1"/>
        <w:jc w:val="both"/>
      </w:pPr>
    </w:p>
    <w:p w:rsidR="00B33DD3" w:rsidRPr="007739FF" w:rsidRDefault="00B33DD3" w:rsidP="00D94A14">
      <w:pPr>
        <w:pStyle w:val="BodyText"/>
        <w:spacing w:after="0"/>
        <w:jc w:val="both"/>
        <w:rPr>
          <w:i/>
          <w:sz w:val="24"/>
        </w:rPr>
      </w:pPr>
      <w:r w:rsidRPr="00D05FDD">
        <w:rPr>
          <w:i/>
          <w:sz w:val="24"/>
        </w:rPr>
        <w:t xml:space="preserve"> </w:t>
      </w:r>
      <w:r w:rsidRPr="00D05FDD">
        <w:rPr>
          <w:sz w:val="24"/>
          <w:szCs w:val="24"/>
        </w:rPr>
        <w:t>The concept of market value requires the following conditions:</w:t>
      </w:r>
    </w:p>
    <w:p w:rsidR="00B33DD3" w:rsidRPr="00D05FDD" w:rsidRDefault="00B33DD3" w:rsidP="00D94A14">
      <w:pPr>
        <w:pStyle w:val="BodyText"/>
        <w:numPr>
          <w:ilvl w:val="0"/>
          <w:numId w:val="1"/>
        </w:numPr>
        <w:spacing w:after="0"/>
        <w:jc w:val="both"/>
        <w:rPr>
          <w:i/>
          <w:sz w:val="24"/>
        </w:rPr>
      </w:pPr>
      <w:r w:rsidRPr="00D05FDD">
        <w:rPr>
          <w:i/>
          <w:sz w:val="24"/>
        </w:rPr>
        <w:t>Consummation of a sale occurs as of a specified date</w:t>
      </w:r>
    </w:p>
    <w:p w:rsidR="00B33DD3" w:rsidRPr="00D05FDD" w:rsidRDefault="00B33DD3" w:rsidP="00D94A14">
      <w:pPr>
        <w:pStyle w:val="BodyText"/>
        <w:numPr>
          <w:ilvl w:val="0"/>
          <w:numId w:val="1"/>
        </w:numPr>
        <w:spacing w:after="0"/>
        <w:jc w:val="both"/>
        <w:rPr>
          <w:i/>
          <w:sz w:val="24"/>
        </w:rPr>
      </w:pPr>
      <w:r w:rsidRPr="00D05FDD">
        <w:rPr>
          <w:i/>
          <w:sz w:val="24"/>
        </w:rPr>
        <w:t>An open and competitive market exits for the property interest appraised.</w:t>
      </w:r>
    </w:p>
    <w:p w:rsidR="00B33DD3" w:rsidRPr="00D05FDD" w:rsidRDefault="00B33DD3" w:rsidP="00D94A14">
      <w:pPr>
        <w:pStyle w:val="BodyText"/>
        <w:numPr>
          <w:ilvl w:val="0"/>
          <w:numId w:val="1"/>
        </w:numPr>
        <w:spacing w:after="0"/>
        <w:jc w:val="both"/>
        <w:rPr>
          <w:i/>
          <w:sz w:val="24"/>
        </w:rPr>
      </w:pPr>
      <w:r w:rsidRPr="00D05FDD">
        <w:rPr>
          <w:i/>
          <w:sz w:val="24"/>
        </w:rPr>
        <w:t>The buyer and seller are each acting prudently and knowledgeably.</w:t>
      </w:r>
    </w:p>
    <w:p w:rsidR="00B33DD3" w:rsidRPr="00D05FDD" w:rsidRDefault="00B33DD3" w:rsidP="00D94A14">
      <w:pPr>
        <w:pStyle w:val="BodyText"/>
        <w:numPr>
          <w:ilvl w:val="0"/>
          <w:numId w:val="1"/>
        </w:numPr>
        <w:spacing w:after="0"/>
        <w:jc w:val="both"/>
        <w:rPr>
          <w:i/>
          <w:sz w:val="24"/>
        </w:rPr>
      </w:pPr>
      <w:r w:rsidRPr="00D05FDD">
        <w:rPr>
          <w:i/>
          <w:sz w:val="24"/>
        </w:rPr>
        <w:t>The price is not affected by undue stimulus.</w:t>
      </w:r>
    </w:p>
    <w:p w:rsidR="00B33DD3" w:rsidRPr="00D05FDD" w:rsidRDefault="00B33DD3" w:rsidP="00D94A14">
      <w:pPr>
        <w:pStyle w:val="BodyText"/>
        <w:numPr>
          <w:ilvl w:val="0"/>
          <w:numId w:val="1"/>
        </w:numPr>
        <w:spacing w:after="0"/>
        <w:jc w:val="both"/>
        <w:rPr>
          <w:i/>
          <w:sz w:val="24"/>
        </w:rPr>
      </w:pPr>
      <w:r w:rsidRPr="00D05FDD">
        <w:rPr>
          <w:i/>
          <w:sz w:val="24"/>
        </w:rPr>
        <w:t>The buyer and seller are typically motivated.</w:t>
      </w:r>
    </w:p>
    <w:p w:rsidR="00B33DD3" w:rsidRPr="00D05FDD" w:rsidRDefault="00B33DD3" w:rsidP="00D94A14">
      <w:pPr>
        <w:pStyle w:val="BodyText"/>
        <w:numPr>
          <w:ilvl w:val="0"/>
          <w:numId w:val="1"/>
        </w:numPr>
        <w:spacing w:after="0"/>
        <w:jc w:val="both"/>
        <w:rPr>
          <w:i/>
          <w:sz w:val="24"/>
        </w:rPr>
      </w:pPr>
      <w:r w:rsidRPr="00D05FDD">
        <w:rPr>
          <w:i/>
          <w:sz w:val="24"/>
        </w:rPr>
        <w:t>Both parties are acting under what they consider their best interest.</w:t>
      </w:r>
    </w:p>
    <w:p w:rsidR="00B33DD3" w:rsidRPr="00D05FDD" w:rsidRDefault="00B33DD3" w:rsidP="00D94A14">
      <w:pPr>
        <w:pStyle w:val="BodyText"/>
        <w:numPr>
          <w:ilvl w:val="0"/>
          <w:numId w:val="1"/>
        </w:numPr>
        <w:spacing w:after="0"/>
        <w:jc w:val="both"/>
        <w:rPr>
          <w:i/>
          <w:sz w:val="24"/>
        </w:rPr>
      </w:pPr>
      <w:r w:rsidRPr="00D05FDD">
        <w:rPr>
          <w:i/>
          <w:sz w:val="24"/>
        </w:rPr>
        <w:t>Marketing efforts were adequate and a reasonable time was allowed for exposure on the open market.</w:t>
      </w:r>
    </w:p>
    <w:p w:rsidR="00B33DD3" w:rsidRPr="00D05FDD" w:rsidRDefault="00B33DD3" w:rsidP="00D94A14">
      <w:pPr>
        <w:pStyle w:val="BodyText"/>
        <w:numPr>
          <w:ilvl w:val="0"/>
          <w:numId w:val="1"/>
        </w:numPr>
        <w:spacing w:after="0"/>
        <w:jc w:val="both"/>
        <w:rPr>
          <w:i/>
          <w:sz w:val="24"/>
        </w:rPr>
      </w:pPr>
      <w:r w:rsidRPr="00D05FDD">
        <w:rPr>
          <w:i/>
          <w:sz w:val="24"/>
        </w:rPr>
        <w:t>Payment was made in cash in U.S. Dollars or in terms of financial arrangements comparable thereto.</w:t>
      </w:r>
    </w:p>
    <w:p w:rsidR="00B33DD3" w:rsidRDefault="00B33DD3" w:rsidP="00D94A14">
      <w:pPr>
        <w:pStyle w:val="BodyText"/>
        <w:numPr>
          <w:ilvl w:val="0"/>
          <w:numId w:val="1"/>
        </w:numPr>
        <w:spacing w:after="0"/>
        <w:jc w:val="both"/>
        <w:rPr>
          <w:i/>
          <w:sz w:val="24"/>
        </w:rPr>
      </w:pPr>
      <w:r w:rsidRPr="00D05FDD">
        <w:rPr>
          <w:i/>
          <w:sz w:val="24"/>
        </w:rPr>
        <w:t>The price represents the normal consideration for the property sold, unaffected by special or creative financing or sales concessions granted by anyone associated with the sale.</w:t>
      </w:r>
      <w:r w:rsidRPr="00D05FDD">
        <w:rPr>
          <w:rStyle w:val="FootnoteReference"/>
          <w:i/>
          <w:sz w:val="24"/>
        </w:rPr>
        <w:footnoteReference w:id="2"/>
      </w:r>
    </w:p>
    <w:p w:rsidR="00B33DD3" w:rsidRDefault="00B33DD3" w:rsidP="00D94A14">
      <w:pPr>
        <w:jc w:val="both"/>
        <w:rPr>
          <w:rFonts w:ascii="Arial" w:hAnsi="Arial" w:cs="Arial"/>
          <w:b/>
        </w:rPr>
      </w:pPr>
    </w:p>
    <w:p w:rsidR="00B33DD3" w:rsidRPr="004D6632" w:rsidRDefault="00B33DD3" w:rsidP="00D94A14">
      <w:pPr>
        <w:jc w:val="both"/>
        <w:rPr>
          <w:rFonts w:ascii="Arial" w:hAnsi="Arial" w:cs="Arial"/>
        </w:rPr>
      </w:pPr>
      <w:r w:rsidRPr="004D6632">
        <w:rPr>
          <w:rFonts w:ascii="Arial" w:hAnsi="Arial" w:cs="Arial"/>
          <w:b/>
        </w:rPr>
        <w:t xml:space="preserve">EFFECTIVE DATE OF APPRAISAL:  </w:t>
      </w:r>
      <w:r>
        <w:rPr>
          <w:rFonts w:ascii="Arial" w:hAnsi="Arial" w:cs="Arial"/>
        </w:rPr>
        <w:t>The date of the appraiser’s final inspection.</w:t>
      </w:r>
      <w:r w:rsidRPr="004D6632">
        <w:rPr>
          <w:rFonts w:ascii="Arial" w:hAnsi="Arial" w:cs="Arial"/>
          <w:b/>
        </w:rPr>
        <w:t xml:space="preserve">  </w:t>
      </w:r>
    </w:p>
    <w:p w:rsidR="00B33DD3" w:rsidRDefault="00B33DD3" w:rsidP="00D94A14">
      <w:pPr>
        <w:jc w:val="both"/>
        <w:rPr>
          <w:rFonts w:ascii="Arial" w:hAnsi="Arial" w:cs="Arial"/>
          <w:b/>
        </w:rPr>
      </w:pPr>
    </w:p>
    <w:p w:rsidR="00B33DD3" w:rsidRPr="001306F3" w:rsidRDefault="00B33DD3" w:rsidP="00D94A14">
      <w:pPr>
        <w:jc w:val="both"/>
        <w:rPr>
          <w:rFonts w:ascii="Arial" w:hAnsi="Arial" w:cs="Arial"/>
          <w:b/>
        </w:rPr>
      </w:pPr>
      <w:r w:rsidRPr="004D6632">
        <w:rPr>
          <w:rFonts w:ascii="Arial" w:hAnsi="Arial" w:cs="Arial"/>
          <w:b/>
        </w:rPr>
        <w:t>PROPERTY INFORMATION:</w:t>
      </w:r>
      <w:r>
        <w:rPr>
          <w:rFonts w:ascii="Arial" w:hAnsi="Arial" w:cs="Arial"/>
          <w:b/>
        </w:rPr>
        <w:t xml:space="preserve">  </w:t>
      </w:r>
      <w:r>
        <w:rPr>
          <w:rFonts w:ascii="Arial" w:hAnsi="Arial" w:cs="Arial"/>
        </w:rPr>
        <w:t>The parcels have metes and bounds legal descriptions.  Parcel boundaries and locations are adequately identified by their MOA</w:t>
      </w:r>
      <w:r w:rsidRPr="001306F3">
        <w:rPr>
          <w:rFonts w:ascii="Arial" w:hAnsi="Arial" w:cs="Arial"/>
        </w:rPr>
        <w:t xml:space="preserve"> parcel numbers and depictions on </w:t>
      </w:r>
      <w:r>
        <w:rPr>
          <w:rFonts w:ascii="Arial" w:hAnsi="Arial" w:cs="Arial"/>
        </w:rPr>
        <w:t>parcel plats</w:t>
      </w:r>
      <w:r w:rsidRPr="001306F3">
        <w:rPr>
          <w:rFonts w:ascii="Arial" w:hAnsi="Arial" w:cs="Arial"/>
        </w:rPr>
        <w:t>.</w:t>
      </w:r>
    </w:p>
    <w:p w:rsidR="00B33DD3" w:rsidRPr="001306F3" w:rsidRDefault="00B33DD3" w:rsidP="00D94A14">
      <w:pPr>
        <w:ind w:firstLine="720"/>
        <w:jc w:val="both"/>
        <w:rPr>
          <w:rFonts w:ascii="Arial" w:hAnsi="Arial" w:cs="Arial"/>
          <w:b/>
        </w:rPr>
      </w:pPr>
    </w:p>
    <w:p w:rsidR="00B33DD3" w:rsidRPr="001306F3" w:rsidRDefault="00B33DD3" w:rsidP="00D94A14">
      <w:pPr>
        <w:ind w:firstLine="720"/>
        <w:jc w:val="both"/>
        <w:rPr>
          <w:rFonts w:ascii="Arial" w:hAnsi="Arial" w:cs="Arial"/>
        </w:rPr>
      </w:pPr>
      <w:r w:rsidRPr="004F21D7">
        <w:rPr>
          <w:rFonts w:ascii="Arial" w:hAnsi="Arial" w:cs="Arial"/>
          <w:b/>
        </w:rPr>
        <w:t>CONVERTED PARCEL:</w:t>
      </w:r>
    </w:p>
    <w:p w:rsidR="00B33DD3" w:rsidRPr="001306F3" w:rsidRDefault="00B33DD3" w:rsidP="00D94A14">
      <w:pPr>
        <w:ind w:left="720"/>
        <w:jc w:val="both"/>
        <w:rPr>
          <w:rFonts w:ascii="Arial" w:hAnsi="Arial" w:cs="Arial"/>
        </w:rPr>
      </w:pPr>
      <w:r w:rsidRPr="001306F3">
        <w:rPr>
          <w:rFonts w:ascii="Arial" w:hAnsi="Arial" w:cs="Arial"/>
        </w:rPr>
        <w:t xml:space="preserve">Present Use:  </w:t>
      </w:r>
      <w:r>
        <w:rPr>
          <w:rFonts w:ascii="Arial" w:hAnsi="Arial" w:cs="Arial"/>
        </w:rPr>
        <w:t>Parcel</w:t>
      </w:r>
      <w:r w:rsidRPr="001306F3">
        <w:rPr>
          <w:rFonts w:ascii="Arial" w:hAnsi="Arial" w:cs="Arial"/>
        </w:rPr>
        <w:t xml:space="preserve"> </w:t>
      </w:r>
      <w:r>
        <w:rPr>
          <w:rFonts w:ascii="Arial" w:hAnsi="Arial" w:cs="Arial"/>
        </w:rPr>
        <w:t>29</w:t>
      </w:r>
      <w:r w:rsidRPr="00877732">
        <w:rPr>
          <w:rFonts w:ascii="Arial" w:hAnsi="Arial" w:cs="Arial"/>
        </w:rPr>
        <w:t xml:space="preserve"> </w:t>
      </w:r>
      <w:r>
        <w:rPr>
          <w:rFonts w:ascii="Arial" w:hAnsi="Arial" w:cs="Arial"/>
        </w:rPr>
        <w:t>is</w:t>
      </w:r>
      <w:r w:rsidRPr="00877732">
        <w:rPr>
          <w:rFonts w:ascii="Arial" w:hAnsi="Arial" w:cs="Arial"/>
        </w:rPr>
        <w:t xml:space="preserve"> </w:t>
      </w:r>
      <w:r>
        <w:rPr>
          <w:rFonts w:ascii="Arial" w:hAnsi="Arial" w:cs="Arial"/>
        </w:rPr>
        <w:t>the southernmost 1.9 acre portion</w:t>
      </w:r>
      <w:r w:rsidRPr="00877732">
        <w:rPr>
          <w:rFonts w:ascii="Arial" w:hAnsi="Arial" w:cs="Arial"/>
        </w:rPr>
        <w:t xml:space="preserve"> of the </w:t>
      </w:r>
      <w:r>
        <w:rPr>
          <w:rFonts w:ascii="Arial" w:hAnsi="Arial" w:cs="Arial"/>
        </w:rPr>
        <w:t>Brotherhood/Sisterhood Park, also known as Tract 4 of Crossroads Business Park.  The land was zoned R-O SL (residential office with special limitations).  On January 12, 2010, the land was rezoned I-1 SL (light industrial with special limitations) and is improved primarily as a soccer field.</w:t>
      </w:r>
      <w:r w:rsidRPr="001306F3">
        <w:rPr>
          <w:rFonts w:ascii="Arial" w:hAnsi="Arial" w:cs="Arial"/>
        </w:rPr>
        <w:t xml:space="preserve"> </w:t>
      </w:r>
    </w:p>
    <w:p w:rsidR="00B33DD3" w:rsidRPr="001306F3" w:rsidRDefault="00B33DD3" w:rsidP="00D94A14">
      <w:pPr>
        <w:ind w:left="720"/>
        <w:jc w:val="both"/>
        <w:rPr>
          <w:rFonts w:ascii="Arial" w:hAnsi="Arial" w:cs="Arial"/>
        </w:rPr>
      </w:pPr>
    </w:p>
    <w:p w:rsidR="00B33DD3" w:rsidRDefault="00B33DD3" w:rsidP="00D94A14">
      <w:pPr>
        <w:ind w:left="720"/>
        <w:jc w:val="both"/>
        <w:rPr>
          <w:rFonts w:ascii="Arial" w:hAnsi="Arial" w:cs="Arial"/>
        </w:rPr>
      </w:pPr>
      <w:r w:rsidRPr="001306F3">
        <w:rPr>
          <w:rFonts w:ascii="Arial" w:hAnsi="Arial" w:cs="Arial"/>
        </w:rPr>
        <w:t>Anticipated Use:</w:t>
      </w:r>
      <w:r w:rsidRPr="001306F3">
        <w:rPr>
          <w:rFonts w:ascii="Arial" w:hAnsi="Arial" w:cs="Arial"/>
          <w:b/>
        </w:rPr>
        <w:t xml:space="preserve">  </w:t>
      </w:r>
      <w:r>
        <w:rPr>
          <w:rFonts w:ascii="Arial" w:hAnsi="Arial" w:cs="Arial"/>
        </w:rPr>
        <w:t xml:space="preserve">It is anticipated that the MOA will transfer fee title of 1.9 acres to Orbus/AFF along with the rights to a portion of the lands within the Van Buren Street Right of Way.  The MOA plans to replat said 1.9 acres, vacate right of way, and vacate a 10’ wide Telephone and Electrical Easement area that borders the east and south property lines of Tract 4, and Tract 5C of Crossroads Business Park (Plat 2000-25, Anchorage Recording District, Anchorage, Alaska) west property line creating Tract 3 of Sisterhood Park Subdivision, which is anticipated to containing a total of 10.941 acres, or 476,603 square feet, more or less in the “after”. </w:t>
      </w:r>
    </w:p>
    <w:p w:rsidR="00B33DD3" w:rsidRPr="001306F3" w:rsidRDefault="00B33DD3" w:rsidP="00D94A14">
      <w:pPr>
        <w:ind w:left="720"/>
        <w:jc w:val="both"/>
        <w:rPr>
          <w:rFonts w:ascii="Arial" w:hAnsi="Arial" w:cs="Arial"/>
          <w:b/>
        </w:rPr>
      </w:pPr>
    </w:p>
    <w:p w:rsidR="00B33DD3" w:rsidRPr="001306F3" w:rsidRDefault="00B33DD3" w:rsidP="00D94A14">
      <w:pPr>
        <w:ind w:left="720"/>
        <w:jc w:val="both"/>
        <w:rPr>
          <w:rFonts w:ascii="Arial" w:hAnsi="Arial" w:cs="Arial"/>
          <w:b/>
        </w:rPr>
      </w:pPr>
      <w:r w:rsidRPr="001306F3">
        <w:rPr>
          <w:rFonts w:ascii="Arial" w:hAnsi="Arial" w:cs="Arial"/>
          <w:b/>
        </w:rPr>
        <w:t>REPLACEMENT PARCEL:</w:t>
      </w:r>
    </w:p>
    <w:p w:rsidR="00B33DD3" w:rsidRPr="001306F3" w:rsidRDefault="00B33DD3" w:rsidP="00D94A14">
      <w:pPr>
        <w:ind w:left="720"/>
        <w:jc w:val="both"/>
        <w:rPr>
          <w:rFonts w:ascii="Arial" w:hAnsi="Arial" w:cs="Arial"/>
        </w:rPr>
      </w:pPr>
      <w:r w:rsidRPr="001306F3">
        <w:rPr>
          <w:rFonts w:ascii="Arial" w:hAnsi="Arial" w:cs="Arial"/>
        </w:rPr>
        <w:t xml:space="preserve">Present Use:  </w:t>
      </w:r>
      <w:r>
        <w:rPr>
          <w:rFonts w:ascii="Arial" w:hAnsi="Arial" w:cs="Arial"/>
        </w:rPr>
        <w:t>Parcel 30</w:t>
      </w:r>
      <w:r w:rsidRPr="001306F3">
        <w:rPr>
          <w:rFonts w:ascii="Arial" w:hAnsi="Arial" w:cs="Arial"/>
        </w:rPr>
        <w:t xml:space="preserve"> </w:t>
      </w:r>
      <w:r>
        <w:rPr>
          <w:rFonts w:ascii="Arial" w:hAnsi="Arial" w:cs="Arial"/>
        </w:rPr>
        <w:t>is the northernmost portion of Tract 5B-1, Crossroads Business Park, containing approximately 2.73 acres and is currently owned by Orbus/AFF. The land is undeveloped and currently zoned as R-4 SL (multi-family with special limitations).</w:t>
      </w:r>
    </w:p>
    <w:p w:rsidR="00B33DD3" w:rsidRPr="001306F3" w:rsidRDefault="00B33DD3" w:rsidP="00D94A14">
      <w:pPr>
        <w:ind w:left="720"/>
        <w:jc w:val="both"/>
        <w:rPr>
          <w:rFonts w:ascii="Arial" w:hAnsi="Arial" w:cs="Arial"/>
        </w:rPr>
      </w:pPr>
    </w:p>
    <w:p w:rsidR="00B33DD3" w:rsidRDefault="00B33DD3" w:rsidP="00D94A14">
      <w:pPr>
        <w:ind w:left="720"/>
        <w:jc w:val="both"/>
        <w:rPr>
          <w:rFonts w:ascii="Arial" w:hAnsi="Arial" w:cs="Arial"/>
        </w:rPr>
      </w:pPr>
      <w:r w:rsidRPr="001306F3">
        <w:rPr>
          <w:rFonts w:ascii="Arial" w:hAnsi="Arial" w:cs="Arial"/>
        </w:rPr>
        <w:t>Intended Use:</w:t>
      </w:r>
      <w:r>
        <w:rPr>
          <w:rFonts w:ascii="Arial" w:hAnsi="Arial" w:cs="Arial"/>
        </w:rPr>
        <w:t xml:space="preserve">  Orbus/AFF will convey said 2.73 acres to the MOA for inclusion into Brotherhood/Sisterhood Park. The MOA will vacate the 10’ Telephone and Electrical Easement along the eastern property line and replat the replacement lands to combine them with the remaining Tract 4, Crossroads Business Park lands and the adjacent lands to the north (Lot 2, Rail-Air Business Park).  The new lot will be known Tract 1 of Sisterhood Park Subdivision, is anticipated to contain 7.539 acres or 328,407 square feet, more or less.  Tract 1 will be re-zoned to PLI lands and will be improved as the replacement soccer field and adjacent parking area.</w:t>
      </w:r>
    </w:p>
    <w:p w:rsidR="00B33DD3" w:rsidRDefault="00B33DD3" w:rsidP="00D94A14">
      <w:pPr>
        <w:ind w:left="720"/>
        <w:jc w:val="both"/>
        <w:rPr>
          <w:rFonts w:ascii="Arial" w:hAnsi="Arial" w:cs="Arial"/>
        </w:rPr>
      </w:pPr>
    </w:p>
    <w:p w:rsidR="00B33DD3" w:rsidRPr="001306F3" w:rsidRDefault="00B33DD3" w:rsidP="00D94A14">
      <w:pPr>
        <w:ind w:left="720"/>
        <w:jc w:val="both"/>
        <w:rPr>
          <w:rFonts w:ascii="Arial" w:hAnsi="Arial" w:cs="Arial"/>
        </w:rPr>
      </w:pPr>
      <w:r>
        <w:rPr>
          <w:rFonts w:ascii="Arial" w:hAnsi="Arial" w:cs="Arial"/>
        </w:rPr>
        <w:t>The remainder of Tract 5B-1, Crossroads Business Park will be replatted as Tract 2, Sisterhood Park Subdivision containing 6.095 acres, or 265,516 square feet.</w:t>
      </w:r>
    </w:p>
    <w:p w:rsidR="00B33DD3" w:rsidRPr="001306F3" w:rsidRDefault="00B33DD3" w:rsidP="00D94A14">
      <w:pPr>
        <w:ind w:left="720"/>
        <w:jc w:val="both"/>
        <w:rPr>
          <w:rFonts w:ascii="Arial" w:hAnsi="Arial" w:cs="Arial"/>
        </w:rPr>
      </w:pPr>
    </w:p>
    <w:p w:rsidR="00B33DD3" w:rsidRDefault="00B33DD3" w:rsidP="00D94A14">
      <w:pPr>
        <w:ind w:left="720"/>
        <w:jc w:val="both"/>
        <w:rPr>
          <w:rFonts w:ascii="Arial" w:hAnsi="Arial" w:cs="Arial"/>
          <w:b/>
        </w:rPr>
      </w:pPr>
      <w:r w:rsidRPr="001306F3">
        <w:rPr>
          <w:rFonts w:ascii="Arial" w:hAnsi="Arial" w:cs="Arial"/>
          <w:b/>
        </w:rPr>
        <w:t xml:space="preserve">LOT SIZE:  </w:t>
      </w:r>
      <w:r w:rsidRPr="001306F3">
        <w:rPr>
          <w:rFonts w:ascii="Arial" w:hAnsi="Arial" w:cs="Arial"/>
        </w:rPr>
        <w:t>See attached Table A</w:t>
      </w:r>
      <w:r w:rsidRPr="001306F3">
        <w:rPr>
          <w:rFonts w:ascii="Arial" w:hAnsi="Arial" w:cs="Arial"/>
          <w:b/>
        </w:rPr>
        <w:t xml:space="preserve">     BUILDING SIZE:  </w:t>
      </w:r>
      <w:r w:rsidRPr="001306F3">
        <w:rPr>
          <w:rFonts w:ascii="Arial" w:hAnsi="Arial" w:cs="Arial"/>
        </w:rPr>
        <w:t xml:space="preserve">N/A.  Appraise land only.     </w:t>
      </w:r>
    </w:p>
    <w:p w:rsidR="00B33DD3" w:rsidRDefault="00B33DD3" w:rsidP="00D94A14">
      <w:pPr>
        <w:ind w:left="720"/>
        <w:jc w:val="both"/>
        <w:rPr>
          <w:rFonts w:ascii="Arial" w:hAnsi="Arial" w:cs="Arial"/>
          <w:b/>
        </w:rPr>
      </w:pPr>
    </w:p>
    <w:p w:rsidR="00B33DD3" w:rsidRPr="001306F3" w:rsidRDefault="00B33DD3" w:rsidP="00D94A14">
      <w:pPr>
        <w:ind w:left="720"/>
        <w:jc w:val="both"/>
        <w:rPr>
          <w:rFonts w:ascii="Arial" w:hAnsi="Arial" w:cs="Arial"/>
        </w:rPr>
      </w:pPr>
      <w:r w:rsidRPr="001306F3">
        <w:rPr>
          <w:rFonts w:ascii="Arial" w:hAnsi="Arial" w:cs="Arial"/>
          <w:b/>
        </w:rPr>
        <w:t xml:space="preserve">BUILDING AGE:  </w:t>
      </w:r>
      <w:r w:rsidRPr="001306F3">
        <w:rPr>
          <w:rFonts w:ascii="Arial" w:hAnsi="Arial" w:cs="Arial"/>
        </w:rPr>
        <w:t>N/A</w:t>
      </w:r>
      <w:r>
        <w:rPr>
          <w:rFonts w:ascii="Arial" w:hAnsi="Arial" w:cs="Arial"/>
        </w:rPr>
        <w:t xml:space="preserve">  </w:t>
      </w:r>
      <w:r w:rsidRPr="001306F3">
        <w:rPr>
          <w:rFonts w:ascii="Arial" w:hAnsi="Arial" w:cs="Arial"/>
          <w:b/>
        </w:rPr>
        <w:t xml:space="preserve">ADDITIONAL PROPERTY INFORMATION:  </w:t>
      </w:r>
      <w:r w:rsidRPr="00DD779C">
        <w:rPr>
          <w:rFonts w:ascii="Arial" w:hAnsi="Arial" w:cs="Arial"/>
        </w:rPr>
        <w:t>None</w:t>
      </w:r>
      <w:r w:rsidRPr="001306F3">
        <w:rPr>
          <w:rFonts w:ascii="Arial" w:hAnsi="Arial" w:cs="Arial"/>
        </w:rPr>
        <w:t xml:space="preserve"> </w:t>
      </w:r>
    </w:p>
    <w:p w:rsidR="00B33DD3" w:rsidRPr="001306F3" w:rsidRDefault="00B33DD3" w:rsidP="00D94A14">
      <w:pPr>
        <w:jc w:val="both"/>
        <w:rPr>
          <w:rFonts w:ascii="Arial" w:hAnsi="Arial" w:cs="Arial"/>
        </w:rPr>
      </w:pPr>
    </w:p>
    <w:p w:rsidR="00B33DD3" w:rsidRPr="00AF443E" w:rsidRDefault="00B33DD3" w:rsidP="00D94A14">
      <w:pPr>
        <w:jc w:val="both"/>
        <w:rPr>
          <w:rFonts w:ascii="Arial" w:hAnsi="Arial" w:cs="Arial"/>
          <w:b/>
        </w:rPr>
      </w:pPr>
      <w:r w:rsidRPr="001306F3">
        <w:rPr>
          <w:rFonts w:ascii="Arial" w:hAnsi="Arial" w:cs="Arial"/>
          <w:b/>
        </w:rPr>
        <w:t>EXTRAORDINARY ASSUMPTIONS AND LIMITING CONDITIONS:</w:t>
      </w:r>
      <w:r w:rsidRPr="004D6632">
        <w:rPr>
          <w:rFonts w:ascii="Arial" w:hAnsi="Arial" w:cs="Arial"/>
          <w:b/>
        </w:rPr>
        <w:t xml:space="preserve"> </w:t>
      </w:r>
    </w:p>
    <w:p w:rsidR="00B33DD3" w:rsidRPr="00B70A99" w:rsidRDefault="00B33DD3" w:rsidP="00D94A14">
      <w:pPr>
        <w:pStyle w:val="ListParagraph"/>
        <w:numPr>
          <w:ilvl w:val="0"/>
          <w:numId w:val="5"/>
        </w:numPr>
        <w:jc w:val="both"/>
        <w:rPr>
          <w:rFonts w:ascii="Arial" w:hAnsi="Arial" w:cs="Arial"/>
        </w:rPr>
      </w:pPr>
      <w:r>
        <w:rPr>
          <w:rFonts w:ascii="Arial" w:hAnsi="Arial" w:cs="Arial"/>
        </w:rPr>
        <w:t>The rights reserved or granted in the final conveyance documents will be substantially the same as those stated in the preliminary language upon which this estimate of value is based.</w:t>
      </w:r>
    </w:p>
    <w:p w:rsidR="00B33DD3" w:rsidRPr="004D6632" w:rsidRDefault="00B33DD3" w:rsidP="00D94A14">
      <w:pPr>
        <w:jc w:val="both"/>
        <w:rPr>
          <w:rFonts w:ascii="Arial" w:hAnsi="Arial" w:cs="Arial"/>
        </w:rPr>
      </w:pPr>
    </w:p>
    <w:p w:rsidR="00B33DD3" w:rsidRDefault="00B33DD3" w:rsidP="00D94A14">
      <w:pPr>
        <w:jc w:val="both"/>
        <w:rPr>
          <w:rFonts w:ascii="Arial" w:hAnsi="Arial" w:cs="Arial"/>
        </w:rPr>
      </w:pPr>
      <w:r w:rsidRPr="004D6632">
        <w:rPr>
          <w:rFonts w:ascii="Arial" w:hAnsi="Arial" w:cs="Arial"/>
          <w:b/>
        </w:rPr>
        <w:t>HYPOTHETICAL CONDITIONS:</w:t>
      </w:r>
      <w:r w:rsidRPr="004D6632">
        <w:rPr>
          <w:rFonts w:ascii="Arial" w:hAnsi="Arial" w:cs="Arial"/>
        </w:rPr>
        <w:t xml:space="preserve">  </w:t>
      </w:r>
    </w:p>
    <w:p w:rsidR="00B33DD3" w:rsidRDefault="00B33DD3" w:rsidP="00D94A14">
      <w:pPr>
        <w:pStyle w:val="ListParagraph"/>
        <w:numPr>
          <w:ilvl w:val="0"/>
          <w:numId w:val="6"/>
        </w:numPr>
        <w:jc w:val="both"/>
        <w:rPr>
          <w:rFonts w:ascii="Arial" w:hAnsi="Arial" w:cs="Arial"/>
        </w:rPr>
      </w:pPr>
      <w:r w:rsidRPr="002C6F93">
        <w:rPr>
          <w:rFonts w:ascii="Arial" w:hAnsi="Arial" w:cs="Arial"/>
        </w:rPr>
        <w:t>The land is appraised as if vacant and unimproved.</w:t>
      </w:r>
      <w:r>
        <w:rPr>
          <w:rFonts w:ascii="Arial" w:hAnsi="Arial" w:cs="Arial"/>
        </w:rPr>
        <w:t xml:space="preserve"> </w:t>
      </w:r>
    </w:p>
    <w:p w:rsidR="00B33DD3" w:rsidRPr="009C09B2" w:rsidRDefault="00B33DD3" w:rsidP="00D94A14">
      <w:pPr>
        <w:pStyle w:val="ListParagraph"/>
        <w:numPr>
          <w:ilvl w:val="0"/>
          <w:numId w:val="6"/>
        </w:numPr>
        <w:jc w:val="both"/>
        <w:rPr>
          <w:rFonts w:ascii="Arial" w:hAnsi="Arial" w:cs="Arial"/>
        </w:rPr>
      </w:pPr>
      <w:r>
        <w:rPr>
          <w:rFonts w:ascii="Arial" w:hAnsi="Arial" w:cs="Arial"/>
        </w:rPr>
        <w:t>The land is not reserved for park use.  (See Additional Assignment Conditions below.)</w:t>
      </w:r>
    </w:p>
    <w:p w:rsidR="00B33DD3" w:rsidRDefault="00B33DD3" w:rsidP="00D94A14">
      <w:pPr>
        <w:jc w:val="both"/>
        <w:rPr>
          <w:rFonts w:ascii="Arial" w:hAnsi="Arial" w:cs="Arial"/>
          <w:b/>
        </w:rPr>
      </w:pPr>
    </w:p>
    <w:p w:rsidR="00B33DD3" w:rsidRDefault="00B33DD3" w:rsidP="00D94A14">
      <w:pPr>
        <w:jc w:val="both"/>
        <w:rPr>
          <w:rFonts w:ascii="Arial" w:hAnsi="Arial" w:cs="Arial"/>
        </w:rPr>
      </w:pPr>
      <w:r w:rsidRPr="004D6632">
        <w:rPr>
          <w:rFonts w:ascii="Arial" w:hAnsi="Arial" w:cs="Arial"/>
          <w:b/>
        </w:rPr>
        <w:t>JURISDICTIONAL EXCEPTIONS:</w:t>
      </w:r>
      <w:r w:rsidRPr="004D6632">
        <w:rPr>
          <w:rFonts w:ascii="Arial" w:hAnsi="Arial" w:cs="Arial"/>
        </w:rPr>
        <w:t xml:space="preserve">  </w:t>
      </w:r>
    </w:p>
    <w:p w:rsidR="00B33DD3" w:rsidRPr="004D3512" w:rsidRDefault="00B33DD3" w:rsidP="00D94A14">
      <w:pPr>
        <w:pStyle w:val="ListParagraph"/>
        <w:numPr>
          <w:ilvl w:val="0"/>
          <w:numId w:val="7"/>
        </w:numPr>
        <w:jc w:val="both"/>
        <w:rPr>
          <w:rFonts w:ascii="Arial" w:hAnsi="Arial" w:cs="Arial"/>
        </w:rPr>
      </w:pPr>
      <w:r w:rsidRPr="004D3512">
        <w:rPr>
          <w:rFonts w:ascii="Arial" w:hAnsi="Arial" w:cs="Arial"/>
        </w:rPr>
        <w:t>Exposure Time</w:t>
      </w:r>
    </w:p>
    <w:p w:rsidR="00B33DD3" w:rsidRDefault="00B33DD3" w:rsidP="00D94A14">
      <w:pPr>
        <w:ind w:left="720"/>
        <w:jc w:val="both"/>
        <w:rPr>
          <w:rFonts w:ascii="Arial" w:hAnsi="Arial" w:cs="Arial"/>
        </w:rPr>
      </w:pPr>
      <w:r>
        <w:rPr>
          <w:rFonts w:ascii="Arial" w:hAnsi="Arial" w:cs="Arial"/>
        </w:rPr>
        <w:t>Section D-1b of UASFLA provides the legal authority for invoking the Jurisdictional Exception Rule to USPAP Standard Rules 1-2(c) and 2-2(a)(v)</w:t>
      </w:r>
    </w:p>
    <w:p w:rsidR="00B33DD3" w:rsidRDefault="00B33DD3" w:rsidP="00D94A14">
      <w:pPr>
        <w:ind w:left="720"/>
        <w:jc w:val="both"/>
        <w:rPr>
          <w:rFonts w:ascii="Arial" w:hAnsi="Arial" w:cs="Arial"/>
        </w:rPr>
      </w:pPr>
    </w:p>
    <w:p w:rsidR="00B33DD3" w:rsidRDefault="00B33DD3" w:rsidP="00D94A14">
      <w:pPr>
        <w:pStyle w:val="ListParagraph"/>
        <w:numPr>
          <w:ilvl w:val="0"/>
          <w:numId w:val="3"/>
        </w:numPr>
        <w:jc w:val="both"/>
        <w:rPr>
          <w:rFonts w:ascii="Arial" w:hAnsi="Arial" w:cs="Arial"/>
        </w:rPr>
      </w:pPr>
      <w:r>
        <w:rPr>
          <w:rFonts w:ascii="Arial" w:hAnsi="Arial" w:cs="Arial"/>
        </w:rPr>
        <w:t>Public Improvements</w:t>
      </w:r>
    </w:p>
    <w:p w:rsidR="00B33DD3" w:rsidRPr="00604E36" w:rsidRDefault="00B33DD3" w:rsidP="00D94A14">
      <w:pPr>
        <w:ind w:left="720"/>
        <w:jc w:val="both"/>
        <w:rPr>
          <w:rFonts w:ascii="Arial" w:hAnsi="Arial" w:cs="Arial"/>
        </w:rPr>
      </w:pPr>
      <w:r>
        <w:rPr>
          <w:rFonts w:ascii="Arial" w:hAnsi="Arial" w:cs="Arial"/>
        </w:rPr>
        <w:t>49CFR 24.103(a) sets forth the legal authority for the use of UASFLA in general.  Section D-1c of UASFLA provides the legal authority for invoking the Jurisdictional Exception Rule to void USPAP Standards Rule 1-4(f).</w:t>
      </w:r>
    </w:p>
    <w:p w:rsidR="00B33DD3" w:rsidRDefault="00B33DD3" w:rsidP="00D94A14">
      <w:pPr>
        <w:jc w:val="both"/>
        <w:rPr>
          <w:rFonts w:ascii="Arial" w:hAnsi="Arial" w:cs="Arial"/>
          <w:b/>
        </w:rPr>
      </w:pPr>
    </w:p>
    <w:p w:rsidR="00B33DD3" w:rsidRPr="00A212D3" w:rsidRDefault="00B33DD3" w:rsidP="00D94A14">
      <w:pPr>
        <w:jc w:val="both"/>
        <w:rPr>
          <w:rFonts w:ascii="Arial" w:hAnsi="Arial" w:cs="Arial"/>
        </w:rPr>
      </w:pPr>
      <w:r>
        <w:rPr>
          <w:rFonts w:ascii="Arial" w:hAnsi="Arial" w:cs="Arial"/>
          <w:b/>
        </w:rPr>
        <w:t>ADDITIONAL ASSIGNMENT C</w:t>
      </w:r>
      <w:r w:rsidRPr="004D6632">
        <w:rPr>
          <w:rFonts w:ascii="Arial" w:hAnsi="Arial" w:cs="Arial"/>
          <w:b/>
        </w:rPr>
        <w:t>ONDITIONS:</w:t>
      </w:r>
      <w:r>
        <w:rPr>
          <w:rFonts w:ascii="Arial" w:hAnsi="Arial" w:cs="Arial"/>
        </w:rPr>
        <w:t xml:space="preserve">  </w:t>
      </w:r>
      <w:r w:rsidRPr="00A212D3">
        <w:rPr>
          <w:rFonts w:ascii="Arial" w:hAnsi="Arial" w:cs="Arial"/>
        </w:rPr>
        <w:t xml:space="preserve">The appraiser should make a careful reading of the LWCF manual.  </w:t>
      </w:r>
      <w:r>
        <w:rPr>
          <w:rFonts w:ascii="Arial" w:hAnsi="Arial" w:cs="Arial"/>
        </w:rPr>
        <w:t>Some of its major appraisal requirements are summarized here:</w:t>
      </w:r>
    </w:p>
    <w:p w:rsidR="00B33DD3" w:rsidRDefault="00B33DD3" w:rsidP="00D94A14">
      <w:pPr>
        <w:jc w:val="both"/>
        <w:rPr>
          <w:rFonts w:ascii="Arial" w:hAnsi="Arial" w:cs="Arial"/>
        </w:rPr>
      </w:pPr>
    </w:p>
    <w:p w:rsidR="00B33DD3" w:rsidRPr="00A212D3" w:rsidRDefault="00B33DD3" w:rsidP="00D94A14">
      <w:pPr>
        <w:pStyle w:val="ListParagraph"/>
        <w:numPr>
          <w:ilvl w:val="0"/>
          <w:numId w:val="3"/>
        </w:numPr>
        <w:jc w:val="both"/>
        <w:rPr>
          <w:rFonts w:ascii="Arial" w:hAnsi="Arial" w:cs="Arial"/>
        </w:rPr>
      </w:pPr>
      <w:r w:rsidRPr="00A212D3">
        <w:rPr>
          <w:rFonts w:ascii="Arial" w:hAnsi="Arial" w:cs="Arial"/>
        </w:rPr>
        <w:t>Because this assignment involves 6(f) lands a “part taken” appraisal must be prepared instead of the “before and after” methodology usually required by UASFLA.  The “</w:t>
      </w:r>
      <w:r w:rsidRPr="000C6B32">
        <w:rPr>
          <w:rFonts w:ascii="Arial" w:hAnsi="Arial" w:cs="Arial"/>
        </w:rPr>
        <w:t>part</w:t>
      </w:r>
      <w:r w:rsidRPr="00A212D3">
        <w:rPr>
          <w:rFonts w:ascii="Arial" w:hAnsi="Arial" w:cs="Arial"/>
        </w:rPr>
        <w:t xml:space="preserve"> taken” methodology must be used for converted and replacement lands (LWCF manual Chapter 4, Section </w:t>
      </w:r>
      <w:r>
        <w:rPr>
          <w:rFonts w:ascii="Arial" w:hAnsi="Arial" w:cs="Arial"/>
        </w:rPr>
        <w:t>c(2)</w:t>
      </w:r>
      <w:r w:rsidRPr="00A212D3">
        <w:rPr>
          <w:rFonts w:ascii="Arial" w:hAnsi="Arial" w:cs="Arial"/>
        </w:rPr>
        <w:t>viii)</w:t>
      </w:r>
      <w:r>
        <w:rPr>
          <w:rFonts w:ascii="Arial" w:hAnsi="Arial" w:cs="Arial"/>
        </w:rPr>
        <w:t>(a)</w:t>
      </w:r>
      <w:r w:rsidRPr="00A212D3">
        <w:rPr>
          <w:rFonts w:ascii="Arial" w:hAnsi="Arial" w:cs="Arial"/>
        </w:rPr>
        <w:t>.</w:t>
      </w:r>
    </w:p>
    <w:p w:rsidR="00B33DD3" w:rsidRDefault="00B33DD3" w:rsidP="00D94A14">
      <w:pPr>
        <w:jc w:val="both"/>
        <w:rPr>
          <w:rFonts w:ascii="Arial" w:hAnsi="Arial" w:cs="Arial"/>
        </w:rPr>
      </w:pPr>
    </w:p>
    <w:p w:rsidR="00B33DD3" w:rsidRPr="00A33659" w:rsidRDefault="00B33DD3" w:rsidP="00D94A14">
      <w:pPr>
        <w:pStyle w:val="ListParagraph"/>
        <w:numPr>
          <w:ilvl w:val="0"/>
          <w:numId w:val="3"/>
        </w:numPr>
        <w:jc w:val="both"/>
        <w:rPr>
          <w:rFonts w:ascii="Arial" w:hAnsi="Arial" w:cs="Arial"/>
        </w:rPr>
      </w:pPr>
      <w:r w:rsidRPr="00A33659">
        <w:rPr>
          <w:rFonts w:ascii="Arial" w:hAnsi="Arial" w:cs="Arial"/>
        </w:rPr>
        <w:t>Per LWCF manual Chapter 4, Section c(2)(ii) :</w:t>
      </w:r>
    </w:p>
    <w:p w:rsidR="00B33DD3" w:rsidRDefault="00B33DD3" w:rsidP="00D94A14">
      <w:pPr>
        <w:ind w:left="720"/>
        <w:jc w:val="both"/>
        <w:rPr>
          <w:rFonts w:ascii="Arial" w:hAnsi="Arial" w:cs="Arial"/>
          <w:i/>
        </w:rPr>
      </w:pPr>
      <w:r w:rsidRPr="00A212D3">
        <w:rPr>
          <w:rFonts w:ascii="Arial" w:hAnsi="Arial" w:cs="Arial"/>
          <w:i/>
        </w:rPr>
        <w:t xml:space="preserve">The appraiser's estimate of highest and best use must be an "economic” use.  A non-economic highest and best use such as "conservation," "natural lands," "preservation." or any use which requires the property to be withheld from economic production in perpetuity, is not a valid use upon which to estimate market value. Therefore, any appraisal based on such a non-economic highest and best use will not be approved for federal land acquisition purposes. </w:t>
      </w:r>
    </w:p>
    <w:p w:rsidR="00B33DD3" w:rsidRDefault="00B33DD3" w:rsidP="00D94A14">
      <w:pPr>
        <w:ind w:left="720"/>
        <w:jc w:val="both"/>
        <w:rPr>
          <w:rFonts w:ascii="Arial" w:hAnsi="Arial" w:cs="Arial"/>
          <w:i/>
        </w:rPr>
      </w:pPr>
    </w:p>
    <w:p w:rsidR="00B33DD3" w:rsidRPr="00A212D3" w:rsidRDefault="00B33DD3" w:rsidP="00D94A14">
      <w:pPr>
        <w:ind w:left="720"/>
        <w:jc w:val="both"/>
        <w:rPr>
          <w:rFonts w:ascii="Arial" w:hAnsi="Arial" w:cs="Arial"/>
          <w:i/>
        </w:rPr>
      </w:pPr>
      <w:r w:rsidRPr="00A212D3">
        <w:rPr>
          <w:rFonts w:ascii="Arial" w:hAnsi="Arial" w:cs="Arial"/>
          <w:i/>
        </w:rPr>
        <w:t xml:space="preserve">In this same regard, an appraiser's use of any definition of highest and best use which incorporates non-economic considerations (e.g. value to the public, value to the government, or community development goals) will render the appraisal unacceptable for LWCF purposes (Section A-14 of the Uniform Appraisal Standards for Federal Land Acquisition (UASFLA) </w:t>
      </w:r>
    </w:p>
    <w:p w:rsidR="00B33DD3" w:rsidRPr="00A212D3" w:rsidRDefault="00B33DD3" w:rsidP="00D94A14">
      <w:pPr>
        <w:pStyle w:val="ListParagraph"/>
        <w:jc w:val="both"/>
        <w:rPr>
          <w:rFonts w:ascii="Arial" w:hAnsi="Arial" w:cs="Arial"/>
        </w:rPr>
      </w:pPr>
    </w:p>
    <w:p w:rsidR="00B33DD3" w:rsidRPr="00A33659" w:rsidRDefault="00B33DD3" w:rsidP="00D94A14">
      <w:pPr>
        <w:pStyle w:val="ListParagraph"/>
        <w:numPr>
          <w:ilvl w:val="0"/>
          <w:numId w:val="4"/>
        </w:numPr>
        <w:jc w:val="both"/>
        <w:rPr>
          <w:rFonts w:ascii="Arial" w:hAnsi="Arial" w:cs="Arial"/>
        </w:rPr>
      </w:pPr>
      <w:r w:rsidRPr="00A33659">
        <w:rPr>
          <w:rFonts w:ascii="Arial" w:hAnsi="Arial" w:cs="Arial"/>
        </w:rPr>
        <w:t>Per LWCF manual Chapter 4, Section c(2)(viii)(b):</w:t>
      </w:r>
    </w:p>
    <w:p w:rsidR="00B33DD3" w:rsidRPr="008F315A" w:rsidRDefault="00B33DD3" w:rsidP="00D94A14">
      <w:pPr>
        <w:ind w:left="720"/>
        <w:jc w:val="both"/>
        <w:rPr>
          <w:rFonts w:ascii="Arial" w:hAnsi="Arial" w:cs="Arial"/>
          <w:color w:val="FF0000"/>
        </w:rPr>
      </w:pPr>
      <w:r w:rsidRPr="00F308C8">
        <w:rPr>
          <w:rFonts w:ascii="Arial" w:hAnsi="Arial" w:cs="Arial"/>
          <w:i/>
        </w:rPr>
        <w:t>The appraiser should ignore t</w:t>
      </w:r>
      <w:r>
        <w:rPr>
          <w:rFonts w:ascii="Arial" w:hAnsi="Arial" w:cs="Arial"/>
          <w:i/>
        </w:rPr>
        <w:t>he actual zoning of the property (</w:t>
      </w:r>
      <w:r w:rsidRPr="0063079A">
        <w:rPr>
          <w:rFonts w:ascii="Arial" w:hAnsi="Arial" w:cs="Arial"/>
          <w:i/>
        </w:rPr>
        <w:t xml:space="preserve">Parcel </w:t>
      </w:r>
      <w:r>
        <w:rPr>
          <w:rFonts w:ascii="Arial" w:hAnsi="Arial" w:cs="Arial"/>
          <w:i/>
        </w:rPr>
        <w:t>29)</w:t>
      </w:r>
      <w:r w:rsidRPr="00F308C8">
        <w:rPr>
          <w:rFonts w:ascii="Arial" w:hAnsi="Arial" w:cs="Arial"/>
          <w:i/>
        </w:rPr>
        <w:t xml:space="preserve"> if the zoning is a non-economic zoning established to recognize the “open space" characteristics of the park or to foster the preservation of the park</w:t>
      </w:r>
      <w:r>
        <w:rPr>
          <w:rFonts w:ascii="Arial" w:hAnsi="Arial" w:cs="Arial"/>
          <w:i/>
        </w:rPr>
        <w:t>.</w:t>
      </w:r>
    </w:p>
    <w:p w:rsidR="00B33DD3" w:rsidRDefault="00B33DD3" w:rsidP="00D94A14">
      <w:pPr>
        <w:jc w:val="both"/>
        <w:rPr>
          <w:rFonts w:ascii="Arial" w:hAnsi="Arial" w:cs="Arial"/>
        </w:rPr>
      </w:pPr>
    </w:p>
    <w:p w:rsidR="00B33DD3" w:rsidRDefault="00B33DD3" w:rsidP="00D94A14">
      <w:pPr>
        <w:jc w:val="both"/>
        <w:rPr>
          <w:rFonts w:ascii="Arial" w:hAnsi="Arial" w:cs="Arial"/>
          <w:b/>
        </w:rPr>
      </w:pPr>
      <w:r w:rsidRPr="004D6632">
        <w:rPr>
          <w:rFonts w:ascii="Arial" w:hAnsi="Arial" w:cs="Arial"/>
          <w:b/>
        </w:rPr>
        <w:t xml:space="preserve">SCOPE OF WORK:  </w:t>
      </w:r>
    </w:p>
    <w:p w:rsidR="00B33DD3" w:rsidRPr="004D6632" w:rsidRDefault="00B33DD3" w:rsidP="00D94A14">
      <w:pPr>
        <w:jc w:val="both"/>
        <w:rPr>
          <w:rFonts w:ascii="Arial" w:hAnsi="Arial" w:cs="Arial"/>
          <w:b/>
        </w:rPr>
      </w:pPr>
    </w:p>
    <w:p w:rsidR="00B33DD3" w:rsidRPr="004D6632" w:rsidRDefault="00B33DD3" w:rsidP="00D94A14">
      <w:pPr>
        <w:ind w:left="720"/>
        <w:jc w:val="both"/>
        <w:rPr>
          <w:rFonts w:ascii="Arial" w:hAnsi="Arial" w:cs="Arial"/>
        </w:rPr>
      </w:pPr>
      <w:r w:rsidRPr="004D6632">
        <w:rPr>
          <w:rFonts w:ascii="Arial" w:hAnsi="Arial" w:cs="Arial"/>
          <w:b/>
        </w:rPr>
        <w:t>REPORT TYPE:</w:t>
      </w:r>
      <w:r w:rsidRPr="004D6632">
        <w:rPr>
          <w:rFonts w:ascii="Arial" w:hAnsi="Arial" w:cs="Arial"/>
        </w:rPr>
        <w:t xml:space="preserve">  </w:t>
      </w:r>
      <w:r>
        <w:rPr>
          <w:rFonts w:ascii="Arial" w:hAnsi="Arial" w:cs="Arial"/>
        </w:rPr>
        <w:t>Self-contained as defined in USPAP</w:t>
      </w:r>
      <w:r w:rsidRPr="004D6632">
        <w:rPr>
          <w:rFonts w:ascii="Arial" w:hAnsi="Arial" w:cs="Arial"/>
        </w:rPr>
        <w:t xml:space="preserve"> </w:t>
      </w:r>
    </w:p>
    <w:p w:rsidR="00B33DD3" w:rsidRDefault="00B33DD3" w:rsidP="00D94A14">
      <w:pPr>
        <w:tabs>
          <w:tab w:val="center" w:pos="5400"/>
        </w:tabs>
        <w:jc w:val="both"/>
        <w:rPr>
          <w:rFonts w:ascii="Arial" w:hAnsi="Arial" w:cs="Arial"/>
          <w:b/>
        </w:rPr>
      </w:pPr>
    </w:p>
    <w:p w:rsidR="00B33DD3" w:rsidRPr="004D6632" w:rsidRDefault="00B33DD3" w:rsidP="00D94A14">
      <w:pPr>
        <w:tabs>
          <w:tab w:val="center" w:pos="5400"/>
        </w:tabs>
        <w:jc w:val="both"/>
        <w:rPr>
          <w:rFonts w:ascii="Arial" w:hAnsi="Arial" w:cs="Arial"/>
          <w:b/>
        </w:rPr>
      </w:pPr>
      <w:r>
        <w:rPr>
          <w:rFonts w:ascii="Arial" w:hAnsi="Arial" w:cs="Arial"/>
          <w:b/>
        </w:rPr>
        <w:t xml:space="preserve">           </w:t>
      </w:r>
      <w:r w:rsidRPr="004D6632">
        <w:rPr>
          <w:rFonts w:ascii="Arial" w:hAnsi="Arial" w:cs="Arial"/>
          <w:b/>
        </w:rPr>
        <w:t xml:space="preserve">APPROACHES TO VALUE: </w:t>
      </w:r>
      <w:r w:rsidRPr="004D6632">
        <w:rPr>
          <w:rFonts w:ascii="Arial" w:hAnsi="Arial" w:cs="Arial"/>
        </w:rPr>
        <w:t xml:space="preserve"> Direct Sale Comparison</w:t>
      </w:r>
      <w:r w:rsidRPr="004D6632">
        <w:rPr>
          <w:rFonts w:ascii="Arial" w:hAnsi="Arial" w:cs="Arial"/>
          <w:b/>
        </w:rPr>
        <w:tab/>
      </w:r>
    </w:p>
    <w:p w:rsidR="00B33DD3" w:rsidRDefault="00B33DD3" w:rsidP="00D94A14">
      <w:pPr>
        <w:ind w:left="720"/>
        <w:jc w:val="both"/>
        <w:rPr>
          <w:rFonts w:ascii="Arial" w:hAnsi="Arial" w:cs="Arial"/>
          <w:b/>
        </w:rPr>
      </w:pPr>
    </w:p>
    <w:p w:rsidR="00B33DD3" w:rsidRPr="004D6632" w:rsidRDefault="00B33DD3" w:rsidP="00D94A14">
      <w:pPr>
        <w:ind w:left="720"/>
        <w:jc w:val="both"/>
        <w:rPr>
          <w:rFonts w:ascii="Arial" w:hAnsi="Arial" w:cs="Arial"/>
        </w:rPr>
      </w:pPr>
      <w:r w:rsidRPr="004D6632">
        <w:rPr>
          <w:rFonts w:ascii="Arial" w:hAnsi="Arial" w:cs="Arial"/>
          <w:b/>
        </w:rPr>
        <w:t>SOURCES FOR PROPERTY INFORMATION RESEARCH:</w:t>
      </w:r>
      <w:r w:rsidRPr="004D6632">
        <w:rPr>
          <w:rFonts w:ascii="Arial" w:hAnsi="Arial" w:cs="Arial"/>
        </w:rPr>
        <w:t xml:space="preserve">  Physical Inspection by the Appraiser, Survey Plat, Assessor’s Records, Owner, Client,</w:t>
      </w:r>
      <w:r>
        <w:rPr>
          <w:rFonts w:ascii="Arial" w:hAnsi="Arial" w:cs="Arial"/>
        </w:rPr>
        <w:t xml:space="preserve"> Recent Appraisals for DOTPF</w:t>
      </w:r>
    </w:p>
    <w:p w:rsidR="00B33DD3" w:rsidRDefault="00B33DD3" w:rsidP="00D94A14">
      <w:pPr>
        <w:ind w:firstLine="720"/>
        <w:jc w:val="both"/>
        <w:rPr>
          <w:rFonts w:ascii="Arial" w:hAnsi="Arial" w:cs="Arial"/>
          <w:b/>
        </w:rPr>
      </w:pPr>
    </w:p>
    <w:p w:rsidR="00B33DD3" w:rsidRPr="000C6B32" w:rsidRDefault="00B33DD3" w:rsidP="00D94A14">
      <w:pPr>
        <w:ind w:left="720"/>
        <w:jc w:val="both"/>
        <w:rPr>
          <w:rFonts w:ascii="Arial" w:hAnsi="Arial" w:cs="Arial"/>
        </w:rPr>
      </w:pPr>
      <w:r w:rsidRPr="004D6632">
        <w:rPr>
          <w:rFonts w:ascii="Arial" w:hAnsi="Arial" w:cs="Arial"/>
          <w:b/>
        </w:rPr>
        <w:t xml:space="preserve">SOURCES FOR COMPARABLE </w:t>
      </w:r>
      <w:r w:rsidRPr="000C6B32">
        <w:rPr>
          <w:rFonts w:ascii="Arial" w:hAnsi="Arial" w:cs="Arial"/>
          <w:b/>
        </w:rPr>
        <w:t>SALE RESEARCH:</w:t>
      </w:r>
      <w:r>
        <w:rPr>
          <w:rFonts w:ascii="Arial" w:hAnsi="Arial" w:cs="Arial"/>
          <w:b/>
        </w:rPr>
        <w:t xml:space="preserve">  </w:t>
      </w:r>
      <w:r>
        <w:rPr>
          <w:rFonts w:ascii="Arial" w:hAnsi="Arial" w:cs="Arial"/>
        </w:rPr>
        <w:t>A</w:t>
      </w:r>
      <w:r w:rsidRPr="000C6B32">
        <w:rPr>
          <w:rFonts w:ascii="Arial" w:hAnsi="Arial" w:cs="Arial"/>
        </w:rPr>
        <w:t>ssessor’s Records, Owner,</w:t>
      </w:r>
      <w:r>
        <w:rPr>
          <w:rFonts w:ascii="Arial" w:hAnsi="Arial" w:cs="Arial"/>
        </w:rPr>
        <w:t xml:space="preserve"> </w:t>
      </w:r>
      <w:r w:rsidRPr="000C6B32">
        <w:rPr>
          <w:rFonts w:ascii="Arial" w:hAnsi="Arial" w:cs="Arial"/>
        </w:rPr>
        <w:t xml:space="preserve">Client, Recent Appraisals for </w:t>
      </w:r>
      <w:r>
        <w:rPr>
          <w:rFonts w:ascii="Arial" w:hAnsi="Arial" w:cs="Arial"/>
        </w:rPr>
        <w:t>MOA</w:t>
      </w:r>
      <w:r w:rsidRPr="000C6B32">
        <w:rPr>
          <w:rFonts w:ascii="Arial" w:hAnsi="Arial" w:cs="Arial"/>
        </w:rPr>
        <w:t>, MLS, Local Appraisers, Physical Inspection of Primary Sales by Appraiser.  UASFLA requires the appraiser to personally verify sale information if the appraisal goes to condemnation.  That is not the case here.  Verification by competent and reliable personnel is sufficient for this project, provided all other verification requirements required by UASFLA are met.</w:t>
      </w:r>
    </w:p>
    <w:p w:rsidR="00B33DD3" w:rsidRPr="000C6B32" w:rsidRDefault="00B33DD3" w:rsidP="00D94A14">
      <w:pPr>
        <w:ind w:left="720"/>
        <w:jc w:val="both"/>
        <w:rPr>
          <w:rFonts w:ascii="Arial" w:hAnsi="Arial" w:cs="Arial"/>
          <w:strike/>
        </w:rPr>
      </w:pPr>
    </w:p>
    <w:p w:rsidR="00B33DD3" w:rsidRPr="000C6B32" w:rsidRDefault="00B33DD3" w:rsidP="00D94A14">
      <w:pPr>
        <w:jc w:val="both"/>
        <w:rPr>
          <w:rFonts w:ascii="Arial" w:hAnsi="Arial" w:cs="Arial"/>
          <w:b/>
        </w:rPr>
      </w:pPr>
      <w:r w:rsidRPr="000C6B32">
        <w:rPr>
          <w:rFonts w:ascii="Arial" w:hAnsi="Arial" w:cs="Arial"/>
          <w:b/>
        </w:rPr>
        <w:t>ITEMS TO BE PROVIDED BY THE CLIENT</w:t>
      </w:r>
      <w:r>
        <w:rPr>
          <w:rFonts w:ascii="Arial" w:hAnsi="Arial" w:cs="Arial"/>
          <w:b/>
        </w:rPr>
        <w:t xml:space="preserve"> and/or DOWL HKM</w:t>
      </w:r>
      <w:r w:rsidRPr="000C6B32">
        <w:rPr>
          <w:rFonts w:ascii="Arial" w:hAnsi="Arial" w:cs="Arial"/>
          <w:b/>
        </w:rPr>
        <w:t>:</w:t>
      </w:r>
    </w:p>
    <w:p w:rsidR="00B33DD3" w:rsidRPr="002C7E94" w:rsidRDefault="00B33DD3" w:rsidP="00D94A14">
      <w:pPr>
        <w:pStyle w:val="ListParagraph"/>
        <w:numPr>
          <w:ilvl w:val="0"/>
          <w:numId w:val="4"/>
        </w:numPr>
        <w:jc w:val="both"/>
        <w:rPr>
          <w:rFonts w:ascii="Arial" w:hAnsi="Arial" w:cs="Arial"/>
          <w:b/>
        </w:rPr>
      </w:pPr>
      <w:r w:rsidRPr="002C7E94">
        <w:rPr>
          <w:rFonts w:ascii="Arial" w:hAnsi="Arial" w:cs="Arial"/>
        </w:rPr>
        <w:t>Title reports</w:t>
      </w:r>
    </w:p>
    <w:p w:rsidR="00B33DD3" w:rsidRPr="002C7E94" w:rsidRDefault="00B33DD3" w:rsidP="00D94A14">
      <w:pPr>
        <w:pStyle w:val="ListParagraph"/>
        <w:numPr>
          <w:ilvl w:val="0"/>
          <w:numId w:val="4"/>
        </w:numPr>
        <w:jc w:val="both"/>
        <w:rPr>
          <w:rFonts w:ascii="Arial" w:hAnsi="Arial" w:cs="Arial"/>
          <w:b/>
        </w:rPr>
      </w:pPr>
      <w:r w:rsidRPr="002C7E94">
        <w:rPr>
          <w:rFonts w:ascii="Arial" w:hAnsi="Arial" w:cs="Arial"/>
        </w:rPr>
        <w:t>Right-of-Way and Parcel Maps</w:t>
      </w:r>
    </w:p>
    <w:p w:rsidR="00B33DD3" w:rsidRPr="002C7E94" w:rsidRDefault="00B33DD3" w:rsidP="00D94A14">
      <w:pPr>
        <w:pStyle w:val="ListParagraph"/>
        <w:numPr>
          <w:ilvl w:val="0"/>
          <w:numId w:val="4"/>
        </w:numPr>
        <w:jc w:val="both"/>
        <w:rPr>
          <w:rFonts w:ascii="Arial" w:hAnsi="Arial" w:cs="Arial"/>
          <w:b/>
        </w:rPr>
      </w:pPr>
      <w:r w:rsidRPr="002C7E94">
        <w:rPr>
          <w:rFonts w:ascii="Arial" w:hAnsi="Arial" w:cs="Arial"/>
        </w:rPr>
        <w:t>Preliminary Exchange Agreements and Conveyance Documents</w:t>
      </w:r>
    </w:p>
    <w:p w:rsidR="00B33DD3" w:rsidRPr="002C7E94" w:rsidRDefault="00B33DD3" w:rsidP="00D94A14">
      <w:pPr>
        <w:pStyle w:val="ListParagraph"/>
        <w:numPr>
          <w:ilvl w:val="0"/>
          <w:numId w:val="4"/>
        </w:numPr>
        <w:jc w:val="both"/>
        <w:rPr>
          <w:rFonts w:ascii="Arial" w:hAnsi="Arial" w:cs="Arial"/>
          <w:b/>
        </w:rPr>
      </w:pPr>
      <w:r w:rsidRPr="002C7E94">
        <w:rPr>
          <w:rFonts w:ascii="Arial" w:hAnsi="Arial" w:cs="Arial"/>
        </w:rPr>
        <w:t xml:space="preserve">Other maps and drawings for the replacement parcels depicting areas and uses reserved by MOA </w:t>
      </w:r>
    </w:p>
    <w:p w:rsidR="00B33DD3" w:rsidRPr="000C6B32" w:rsidRDefault="00B33DD3" w:rsidP="00D94A14">
      <w:pPr>
        <w:jc w:val="both"/>
        <w:rPr>
          <w:rFonts w:ascii="Arial" w:hAnsi="Arial" w:cs="Arial"/>
          <w:b/>
        </w:rPr>
      </w:pPr>
    </w:p>
    <w:p w:rsidR="00B33DD3" w:rsidRDefault="00B33DD3" w:rsidP="00924B97">
      <w:pPr>
        <w:jc w:val="both"/>
        <w:rPr>
          <w:rFonts w:ascii="Arial" w:hAnsi="Arial" w:cs="Arial"/>
        </w:rPr>
      </w:pPr>
      <w:r w:rsidRPr="000C6B32">
        <w:rPr>
          <w:rFonts w:ascii="Arial" w:hAnsi="Arial" w:cs="Arial"/>
          <w:b/>
        </w:rPr>
        <w:t xml:space="preserve">SUBMITTAL DATE FOR PRELIMINARY REPORT:  </w:t>
      </w:r>
      <w:r>
        <w:rPr>
          <w:rFonts w:ascii="Arial" w:hAnsi="Arial" w:cs="Arial"/>
        </w:rPr>
        <w:t xml:space="preserve">An unbound draft report shall be submitted to the </w:t>
      </w:r>
      <w:r w:rsidRPr="00DE1699">
        <w:rPr>
          <w:rFonts w:ascii="Arial" w:hAnsi="Arial" w:cs="Arial"/>
        </w:rPr>
        <w:t>Client</w:t>
      </w:r>
      <w:r>
        <w:rPr>
          <w:rFonts w:ascii="Arial" w:hAnsi="Arial" w:cs="Arial"/>
        </w:rPr>
        <w:t xml:space="preserve"> for review four weeks from the date of the Notice to Proceed (NTP) is issued.</w:t>
      </w:r>
    </w:p>
    <w:p w:rsidR="00B33DD3" w:rsidRDefault="00B33DD3" w:rsidP="00924B97">
      <w:pPr>
        <w:jc w:val="both"/>
        <w:rPr>
          <w:rFonts w:ascii="Arial" w:hAnsi="Arial" w:cs="Arial"/>
        </w:rPr>
      </w:pPr>
    </w:p>
    <w:p w:rsidR="00B33DD3" w:rsidRPr="005D5443" w:rsidRDefault="00B33DD3" w:rsidP="00924B97">
      <w:pPr>
        <w:jc w:val="both"/>
        <w:rPr>
          <w:rFonts w:ascii="Arial" w:hAnsi="Arial" w:cs="Arial"/>
        </w:rPr>
      </w:pPr>
      <w:r w:rsidRPr="000C6B32">
        <w:rPr>
          <w:rFonts w:ascii="Arial" w:hAnsi="Arial" w:cs="Arial"/>
          <w:b/>
        </w:rPr>
        <w:t xml:space="preserve">SUBMITTAL DATE FOR </w:t>
      </w:r>
      <w:r>
        <w:rPr>
          <w:rFonts w:ascii="Arial" w:hAnsi="Arial" w:cs="Arial"/>
          <w:b/>
        </w:rPr>
        <w:t>FINAL</w:t>
      </w:r>
      <w:r w:rsidRPr="000C6B32">
        <w:rPr>
          <w:rFonts w:ascii="Arial" w:hAnsi="Arial" w:cs="Arial"/>
          <w:b/>
        </w:rPr>
        <w:t xml:space="preserve"> REPORT:  </w:t>
      </w:r>
      <w:r>
        <w:rPr>
          <w:rFonts w:ascii="Arial" w:hAnsi="Arial" w:cs="Arial"/>
        </w:rPr>
        <w:t xml:space="preserve">A final report shall be submitted to the </w:t>
      </w:r>
      <w:r w:rsidRPr="00DE1699">
        <w:rPr>
          <w:rFonts w:ascii="Arial" w:hAnsi="Arial" w:cs="Arial"/>
        </w:rPr>
        <w:t>Client</w:t>
      </w:r>
      <w:r>
        <w:rPr>
          <w:rFonts w:ascii="Arial" w:hAnsi="Arial" w:cs="Arial"/>
        </w:rPr>
        <w:t xml:space="preserve"> within one week from receipt of the review comments.</w:t>
      </w:r>
    </w:p>
    <w:p w:rsidR="00B33DD3" w:rsidRDefault="00B33DD3" w:rsidP="00D94A14">
      <w:pPr>
        <w:jc w:val="both"/>
        <w:rPr>
          <w:rFonts w:ascii="Arial" w:hAnsi="Arial" w:cs="Arial"/>
          <w:b/>
        </w:rPr>
      </w:pPr>
    </w:p>
    <w:p w:rsidR="00B33DD3" w:rsidRPr="004D6632" w:rsidRDefault="00B33DD3" w:rsidP="00814BA6">
      <w:pPr>
        <w:jc w:val="both"/>
        <w:rPr>
          <w:rFonts w:ascii="Arial" w:hAnsi="Arial" w:cs="Arial"/>
        </w:rPr>
      </w:pPr>
      <w:r>
        <w:rPr>
          <w:rFonts w:ascii="Arial" w:hAnsi="Arial" w:cs="Arial"/>
          <w:b/>
        </w:rPr>
        <w:t>NUMBER</w:t>
      </w:r>
      <w:r w:rsidRPr="000C6B32">
        <w:rPr>
          <w:rFonts w:ascii="Arial" w:hAnsi="Arial" w:cs="Arial"/>
          <w:b/>
        </w:rPr>
        <w:t xml:space="preserve"> OF REPORT COPIES (PRELIMINARY &amp; FINAL) REQUIRED BY CLIENT:</w:t>
      </w:r>
      <w:r w:rsidRPr="000C6B32">
        <w:rPr>
          <w:rFonts w:ascii="Arial" w:hAnsi="Arial" w:cs="Arial"/>
        </w:rPr>
        <w:t xml:space="preserve">   Submit a color .pdf electronic copy and 1 hard copy </w:t>
      </w:r>
      <w:r>
        <w:rPr>
          <w:rFonts w:ascii="Arial" w:hAnsi="Arial" w:cs="Arial"/>
        </w:rPr>
        <w:t>o</w:t>
      </w:r>
      <w:r w:rsidRPr="000C6B32">
        <w:rPr>
          <w:rFonts w:ascii="Arial" w:hAnsi="Arial" w:cs="Arial"/>
        </w:rPr>
        <w:t xml:space="preserve">f the preliminary report to </w:t>
      </w:r>
      <w:r>
        <w:rPr>
          <w:rFonts w:ascii="Arial" w:hAnsi="Arial" w:cs="Arial"/>
        </w:rPr>
        <w:t>Trawver Land Services (TLS)</w:t>
      </w:r>
      <w:r w:rsidRPr="000C6B32">
        <w:rPr>
          <w:rFonts w:ascii="Arial" w:hAnsi="Arial" w:cs="Arial"/>
        </w:rPr>
        <w:t xml:space="preserve"> for review</w:t>
      </w:r>
      <w:r>
        <w:rPr>
          <w:rFonts w:ascii="Arial" w:hAnsi="Arial" w:cs="Arial"/>
        </w:rPr>
        <w:t xml:space="preserve"> and submittal to MOA and DOWL HKM.</w:t>
      </w:r>
      <w:r w:rsidRPr="000C6B32">
        <w:rPr>
          <w:rFonts w:ascii="Arial" w:hAnsi="Arial" w:cs="Arial"/>
        </w:rPr>
        <w:t xml:space="preserve">  Submit </w:t>
      </w:r>
      <w:r>
        <w:rPr>
          <w:rFonts w:ascii="Arial" w:hAnsi="Arial" w:cs="Arial"/>
        </w:rPr>
        <w:t>4</w:t>
      </w:r>
      <w:r w:rsidRPr="000C6B32">
        <w:rPr>
          <w:rFonts w:ascii="Arial" w:hAnsi="Arial" w:cs="Arial"/>
        </w:rPr>
        <w:t xml:space="preserve"> signed hard copies and a color </w:t>
      </w:r>
      <w:r>
        <w:rPr>
          <w:rFonts w:ascii="Arial" w:hAnsi="Arial" w:cs="Arial"/>
        </w:rPr>
        <w:t>.pdf</w:t>
      </w:r>
      <w:r w:rsidRPr="000C6B32">
        <w:rPr>
          <w:rFonts w:ascii="Arial" w:hAnsi="Arial" w:cs="Arial"/>
        </w:rPr>
        <w:t xml:space="preserve"> copy of the final report.</w:t>
      </w:r>
    </w:p>
    <w:sectPr w:rsidR="00B33DD3" w:rsidRPr="004D6632" w:rsidSect="007B0B31">
      <w:headerReference w:type="default" r:id="rId7"/>
      <w:footerReference w:type="default" r:id="rId8"/>
      <w:pgSz w:w="12240" w:h="15840" w:code="1"/>
      <w:pgMar w:top="1008" w:right="1152" w:bottom="1440" w:left="1152" w:header="1152" w:footer="11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D3" w:rsidRDefault="00B33DD3">
      <w:r>
        <w:separator/>
      </w:r>
    </w:p>
  </w:endnote>
  <w:endnote w:type="continuationSeparator" w:id="0">
    <w:p w:rsidR="00B33DD3" w:rsidRDefault="00B33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D3" w:rsidRDefault="00B33DD3" w:rsidP="00283635">
    <w:pPr>
      <w:jc w:val="center"/>
    </w:pPr>
  </w:p>
  <w:p w:rsidR="00B33DD3" w:rsidRPr="00D16691" w:rsidRDefault="00B33DD3" w:rsidP="00283635">
    <w:pPr>
      <w:jc w:val="center"/>
      <w:rPr>
        <w:rFonts w:ascii="Arial" w:hAnsi="Arial" w:cs="Arial"/>
      </w:rPr>
    </w:pPr>
    <w:r w:rsidRPr="00D16691">
      <w:rPr>
        <w:rFonts w:ascii="Arial" w:hAnsi="Arial" w:cs="Arial"/>
      </w:rPr>
      <w:t xml:space="preserve">Page </w:t>
    </w:r>
    <w:r w:rsidRPr="00D16691">
      <w:rPr>
        <w:rFonts w:ascii="Arial" w:hAnsi="Arial" w:cs="Arial"/>
      </w:rPr>
      <w:fldChar w:fldCharType="begin"/>
    </w:r>
    <w:r w:rsidRPr="00D16691">
      <w:rPr>
        <w:rFonts w:ascii="Arial" w:hAnsi="Arial" w:cs="Arial"/>
      </w:rPr>
      <w:instrText xml:space="preserve"> PAGE </w:instrText>
    </w:r>
    <w:r w:rsidRPr="00D16691">
      <w:rPr>
        <w:rFonts w:ascii="Arial" w:hAnsi="Arial" w:cs="Arial"/>
      </w:rPr>
      <w:fldChar w:fldCharType="separate"/>
    </w:r>
    <w:r>
      <w:rPr>
        <w:rFonts w:ascii="Arial" w:hAnsi="Arial" w:cs="Arial"/>
        <w:noProof/>
      </w:rPr>
      <w:t>1</w:t>
    </w:r>
    <w:r w:rsidRPr="00D16691">
      <w:rPr>
        <w:rFonts w:ascii="Arial" w:hAnsi="Arial" w:cs="Arial"/>
      </w:rPr>
      <w:fldChar w:fldCharType="end"/>
    </w:r>
    <w:r w:rsidRPr="00D16691">
      <w:rPr>
        <w:rFonts w:ascii="Arial" w:hAnsi="Arial" w:cs="Arial"/>
      </w:rPr>
      <w:t xml:space="preserve"> of </w:t>
    </w:r>
    <w:r w:rsidRPr="00D16691">
      <w:rPr>
        <w:rFonts w:ascii="Arial" w:hAnsi="Arial" w:cs="Arial"/>
      </w:rPr>
      <w:fldChar w:fldCharType="begin"/>
    </w:r>
    <w:r w:rsidRPr="00D16691">
      <w:rPr>
        <w:rFonts w:ascii="Arial" w:hAnsi="Arial" w:cs="Arial"/>
      </w:rPr>
      <w:instrText xml:space="preserve"> NUMPAGES  </w:instrText>
    </w:r>
    <w:r w:rsidRPr="00D16691">
      <w:rPr>
        <w:rFonts w:ascii="Arial" w:hAnsi="Arial" w:cs="Arial"/>
      </w:rPr>
      <w:fldChar w:fldCharType="separate"/>
    </w:r>
    <w:r>
      <w:rPr>
        <w:rFonts w:ascii="Arial" w:hAnsi="Arial" w:cs="Arial"/>
        <w:noProof/>
      </w:rPr>
      <w:t>6</w:t>
    </w:r>
    <w:r w:rsidRPr="00D16691">
      <w:rPr>
        <w:rFonts w:ascii="Arial" w:hAnsi="Arial" w:cs="Arial"/>
      </w:rPr>
      <w:fldChar w:fldCharType="end"/>
    </w:r>
    <w:r w:rsidRPr="00D16691">
      <w:rPr>
        <w:rFonts w:ascii="Arial" w:hAnsi="Arial" w:cs="Arial"/>
      </w:rPr>
      <w:t xml:space="preserve"> </w:t>
    </w:r>
  </w:p>
  <w:p w:rsidR="00B33DD3" w:rsidRDefault="00B33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D3" w:rsidRDefault="00B33DD3">
      <w:r>
        <w:separator/>
      </w:r>
    </w:p>
  </w:footnote>
  <w:footnote w:type="continuationSeparator" w:id="0">
    <w:p w:rsidR="00B33DD3" w:rsidRDefault="00B33DD3">
      <w:r>
        <w:continuationSeparator/>
      </w:r>
    </w:p>
  </w:footnote>
  <w:footnote w:id="1">
    <w:p w:rsidR="00B33DD3" w:rsidRDefault="00B33DD3">
      <w:pPr>
        <w:pStyle w:val="FootnoteText"/>
      </w:pPr>
      <w:r>
        <w:rPr>
          <w:rStyle w:val="FootnoteReference"/>
          <w:rFonts w:cs="Courier New"/>
        </w:rPr>
        <w:footnoteRef/>
      </w:r>
      <w:r>
        <w:t xml:space="preserve"> </w:t>
      </w:r>
      <w:r w:rsidRPr="000001C0">
        <w:rPr>
          <w:rFonts w:ascii="Arial" w:hAnsi="Arial" w:cs="Arial"/>
          <w:i/>
          <w:sz w:val="16"/>
          <w:szCs w:val="16"/>
        </w:rPr>
        <w:t>Uniform Appraisal Standards for Federal Land Acquisitions</w:t>
      </w:r>
      <w:r w:rsidRPr="000001C0">
        <w:rPr>
          <w:rFonts w:ascii="Arial" w:hAnsi="Arial" w:cs="Arial"/>
          <w:sz w:val="16"/>
          <w:szCs w:val="16"/>
        </w:rPr>
        <w:t>, Interagency Land Acquisition Conferen</w:t>
      </w:r>
      <w:r>
        <w:rPr>
          <w:rFonts w:ascii="Arial" w:hAnsi="Arial" w:cs="Arial"/>
          <w:sz w:val="16"/>
          <w:szCs w:val="16"/>
        </w:rPr>
        <w:t>ce, Washington, D.C. 2000, p. 13.</w:t>
      </w:r>
      <w:r w:rsidRPr="000001C0">
        <w:rPr>
          <w:rFonts w:ascii="Arial" w:hAnsi="Arial" w:cs="Arial"/>
          <w:sz w:val="16"/>
          <w:szCs w:val="16"/>
        </w:rPr>
        <w:t>.</w:t>
      </w:r>
    </w:p>
  </w:footnote>
  <w:footnote w:id="2">
    <w:p w:rsidR="00B33DD3" w:rsidRDefault="00B33DD3" w:rsidP="000001C0">
      <w:pPr>
        <w:pStyle w:val="FootnoteText"/>
      </w:pPr>
      <w:r>
        <w:rPr>
          <w:rStyle w:val="FootnoteReference"/>
          <w:rFonts w:cs="Courier New"/>
        </w:rPr>
        <w:footnoteRef/>
      </w:r>
      <w:r>
        <w:t xml:space="preserve"> </w:t>
      </w:r>
      <w:r>
        <w:rPr>
          <w:rFonts w:ascii="Arial" w:hAnsi="Arial" w:cs="Arial"/>
          <w:sz w:val="16"/>
          <w:szCs w:val="16"/>
        </w:rPr>
        <w:t>The Dictionary of Real Estate Appraisal, 4</w:t>
      </w:r>
      <w:r w:rsidRPr="00F846D8">
        <w:rPr>
          <w:rFonts w:ascii="Arial" w:hAnsi="Arial" w:cs="Arial"/>
          <w:sz w:val="16"/>
          <w:szCs w:val="16"/>
          <w:vertAlign w:val="superscript"/>
        </w:rPr>
        <w:t>th</w:t>
      </w:r>
      <w:r>
        <w:rPr>
          <w:rFonts w:ascii="Arial" w:hAnsi="Arial" w:cs="Arial"/>
          <w:sz w:val="16"/>
          <w:szCs w:val="16"/>
        </w:rPr>
        <w:t xml:space="preserve"> Edition, © 2002, </w:t>
      </w:r>
      <w:r w:rsidRPr="008E665B">
        <w:rPr>
          <w:rFonts w:ascii="Arial" w:hAnsi="Arial" w:cs="Arial"/>
          <w:sz w:val="16"/>
          <w:szCs w:val="16"/>
        </w:rPr>
        <w:t>p</w:t>
      </w:r>
      <w:r>
        <w:rPr>
          <w:rFonts w:ascii="Arial" w:hAnsi="Arial" w:cs="Arial"/>
          <w:sz w:val="16"/>
          <w:szCs w:val="16"/>
        </w:rPr>
        <w:t>. 178</w:t>
      </w:r>
      <w:r w:rsidRPr="008E665B">
        <w:rPr>
          <w:rFonts w:ascii="Arial" w:hAnsi="Arial" w:cs="Arial"/>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D3" w:rsidRDefault="00B33DD3" w:rsidP="00604E36">
    <w:pPr>
      <w:pStyle w:val="Header"/>
      <w:jc w:val="center"/>
      <w:rPr>
        <w:rFonts w:ascii="Garamond" w:hAnsi="Garamond" w:cs="Arial"/>
        <w:b/>
      </w:rPr>
    </w:pPr>
    <w:r>
      <w:rPr>
        <w:rFonts w:ascii="Garamond" w:hAnsi="Garamond" w:cs="Arial"/>
        <w:b/>
      </w:rPr>
      <w:t xml:space="preserve">APPRAISAL </w:t>
    </w:r>
    <w:r w:rsidRPr="00604E36">
      <w:rPr>
        <w:rFonts w:ascii="Garamond" w:hAnsi="Garamond" w:cs="Arial"/>
        <w:b/>
      </w:rPr>
      <w:t xml:space="preserve">STATEMENT OF WORK </w:t>
    </w:r>
  </w:p>
  <w:p w:rsidR="00B33DD3" w:rsidRDefault="00B33DD3" w:rsidP="00604E36">
    <w:pPr>
      <w:pStyle w:val="Header"/>
      <w:jc w:val="center"/>
      <w:rPr>
        <w:rFonts w:ascii="Garamond" w:hAnsi="Garamond" w:cs="Arial"/>
        <w:b/>
      </w:rPr>
    </w:pPr>
    <w:r>
      <w:rPr>
        <w:rFonts w:ascii="Garamond" w:hAnsi="Garamond" w:cs="Arial"/>
        <w:b/>
        <w:caps/>
      </w:rPr>
      <w:t>Van Buren St/</w:t>
    </w:r>
    <w:r w:rsidRPr="00CD4163">
      <w:rPr>
        <w:rFonts w:ascii="Garamond" w:hAnsi="Garamond" w:cs="Arial"/>
        <w:b/>
        <w:caps/>
      </w:rPr>
      <w:t>48th Ave Area Circulation &amp; Access Improvements</w:t>
    </w:r>
    <w:r w:rsidRPr="00604E36">
      <w:rPr>
        <w:rFonts w:ascii="Garamond" w:hAnsi="Garamond" w:cs="Arial"/>
        <w:b/>
      </w:rPr>
      <w:t xml:space="preserve"> </w:t>
    </w:r>
  </w:p>
  <w:p w:rsidR="00B33DD3" w:rsidRPr="00604E36" w:rsidRDefault="00B33DD3" w:rsidP="00604E36">
    <w:pPr>
      <w:pStyle w:val="Header"/>
      <w:jc w:val="center"/>
      <w:rPr>
        <w:rFonts w:ascii="Garamond" w:hAnsi="Garamond" w:cs="Arial"/>
        <w:b/>
      </w:rPr>
    </w:pPr>
    <w:r>
      <w:rPr>
        <w:rFonts w:ascii="Garamond" w:hAnsi="Garamond" w:cs="Arial"/>
        <w:b/>
      </w:rPr>
      <w:t xml:space="preserve">LAND AND WATER CONSERVATION FUND </w:t>
    </w:r>
    <w:r w:rsidRPr="00604E36">
      <w:rPr>
        <w:rFonts w:ascii="Garamond" w:hAnsi="Garamond" w:cs="Arial"/>
        <w:b/>
      </w:rPr>
      <w:t>EXCHANGE</w:t>
    </w:r>
  </w:p>
  <w:p w:rsidR="00B33DD3" w:rsidRDefault="00B33D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CE1"/>
    <w:multiLevelType w:val="hybridMultilevel"/>
    <w:tmpl w:val="CFB8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20501"/>
    <w:multiLevelType w:val="hybridMultilevel"/>
    <w:tmpl w:val="C7C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D52B7"/>
    <w:multiLevelType w:val="hybridMultilevel"/>
    <w:tmpl w:val="201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465B5"/>
    <w:multiLevelType w:val="hybridMultilevel"/>
    <w:tmpl w:val="38A6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A51D5"/>
    <w:multiLevelType w:val="hybridMultilevel"/>
    <w:tmpl w:val="46D85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7181EF9"/>
    <w:multiLevelType w:val="hybridMultilevel"/>
    <w:tmpl w:val="FD0A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E437A"/>
    <w:multiLevelType w:val="hybridMultilevel"/>
    <w:tmpl w:val="0266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C95"/>
    <w:rsid w:val="000001C0"/>
    <w:rsid w:val="000063D2"/>
    <w:rsid w:val="00010702"/>
    <w:rsid w:val="00034453"/>
    <w:rsid w:val="00041EA9"/>
    <w:rsid w:val="00047FAB"/>
    <w:rsid w:val="00050074"/>
    <w:rsid w:val="00055838"/>
    <w:rsid w:val="000608D3"/>
    <w:rsid w:val="00067EE6"/>
    <w:rsid w:val="00083005"/>
    <w:rsid w:val="000C06F2"/>
    <w:rsid w:val="000C18C7"/>
    <w:rsid w:val="000C6B32"/>
    <w:rsid w:val="000D01E3"/>
    <w:rsid w:val="000D50BC"/>
    <w:rsid w:val="000E15E4"/>
    <w:rsid w:val="000E2FA8"/>
    <w:rsid w:val="000E6801"/>
    <w:rsid w:val="000F0E6F"/>
    <w:rsid w:val="00101C04"/>
    <w:rsid w:val="00107BE8"/>
    <w:rsid w:val="001149D4"/>
    <w:rsid w:val="001258DE"/>
    <w:rsid w:val="001306F3"/>
    <w:rsid w:val="00137B2D"/>
    <w:rsid w:val="001648D6"/>
    <w:rsid w:val="00171A94"/>
    <w:rsid w:val="00176483"/>
    <w:rsid w:val="00187AF5"/>
    <w:rsid w:val="001A3C4C"/>
    <w:rsid w:val="001B3894"/>
    <w:rsid w:val="001D4019"/>
    <w:rsid w:val="001E408C"/>
    <w:rsid w:val="001E6401"/>
    <w:rsid w:val="001E71D8"/>
    <w:rsid w:val="001E75DD"/>
    <w:rsid w:val="001E76C7"/>
    <w:rsid w:val="002004ED"/>
    <w:rsid w:val="002048D4"/>
    <w:rsid w:val="0021051D"/>
    <w:rsid w:val="00222C5E"/>
    <w:rsid w:val="0022502A"/>
    <w:rsid w:val="0023207F"/>
    <w:rsid w:val="00254600"/>
    <w:rsid w:val="002546AA"/>
    <w:rsid w:val="00256C61"/>
    <w:rsid w:val="00260BCF"/>
    <w:rsid w:val="00265035"/>
    <w:rsid w:val="00270540"/>
    <w:rsid w:val="00282B03"/>
    <w:rsid w:val="00283635"/>
    <w:rsid w:val="00286483"/>
    <w:rsid w:val="002866FD"/>
    <w:rsid w:val="0028724F"/>
    <w:rsid w:val="0029176D"/>
    <w:rsid w:val="00293A3D"/>
    <w:rsid w:val="00295F20"/>
    <w:rsid w:val="002A16B9"/>
    <w:rsid w:val="002A30A1"/>
    <w:rsid w:val="002A353D"/>
    <w:rsid w:val="002A6115"/>
    <w:rsid w:val="002C6F93"/>
    <w:rsid w:val="002C7E94"/>
    <w:rsid w:val="002D3EB0"/>
    <w:rsid w:val="002E2319"/>
    <w:rsid w:val="002F692A"/>
    <w:rsid w:val="003027AE"/>
    <w:rsid w:val="003202AB"/>
    <w:rsid w:val="00325E5C"/>
    <w:rsid w:val="0036326C"/>
    <w:rsid w:val="0036702B"/>
    <w:rsid w:val="00375997"/>
    <w:rsid w:val="003820DC"/>
    <w:rsid w:val="00383D44"/>
    <w:rsid w:val="00395E81"/>
    <w:rsid w:val="003A3F65"/>
    <w:rsid w:val="003C3AC5"/>
    <w:rsid w:val="003C4F4C"/>
    <w:rsid w:val="003D5330"/>
    <w:rsid w:val="003E5FF6"/>
    <w:rsid w:val="003F47DF"/>
    <w:rsid w:val="00437008"/>
    <w:rsid w:val="0043752F"/>
    <w:rsid w:val="00447879"/>
    <w:rsid w:val="00451416"/>
    <w:rsid w:val="0045638D"/>
    <w:rsid w:val="00460DAA"/>
    <w:rsid w:val="004761D3"/>
    <w:rsid w:val="00492198"/>
    <w:rsid w:val="00492B9E"/>
    <w:rsid w:val="00496E9C"/>
    <w:rsid w:val="004A363D"/>
    <w:rsid w:val="004D3512"/>
    <w:rsid w:val="004D6632"/>
    <w:rsid w:val="004F21D7"/>
    <w:rsid w:val="005564DC"/>
    <w:rsid w:val="005662F5"/>
    <w:rsid w:val="005738A0"/>
    <w:rsid w:val="00575F90"/>
    <w:rsid w:val="005C010B"/>
    <w:rsid w:val="005C51FA"/>
    <w:rsid w:val="005C72A2"/>
    <w:rsid w:val="005D5443"/>
    <w:rsid w:val="005D7E8E"/>
    <w:rsid w:val="005F7243"/>
    <w:rsid w:val="00600A6F"/>
    <w:rsid w:val="00603ADC"/>
    <w:rsid w:val="00604E36"/>
    <w:rsid w:val="00610610"/>
    <w:rsid w:val="00610AF1"/>
    <w:rsid w:val="00621CBE"/>
    <w:rsid w:val="0063079A"/>
    <w:rsid w:val="0064302A"/>
    <w:rsid w:val="006515EE"/>
    <w:rsid w:val="006545AC"/>
    <w:rsid w:val="00657E32"/>
    <w:rsid w:val="00674306"/>
    <w:rsid w:val="00675849"/>
    <w:rsid w:val="00686322"/>
    <w:rsid w:val="00687351"/>
    <w:rsid w:val="006A05A9"/>
    <w:rsid w:val="006A3DD7"/>
    <w:rsid w:val="006A4A38"/>
    <w:rsid w:val="006B51A9"/>
    <w:rsid w:val="006B6E5C"/>
    <w:rsid w:val="006F6F52"/>
    <w:rsid w:val="006F75E3"/>
    <w:rsid w:val="0071247F"/>
    <w:rsid w:val="00715ADE"/>
    <w:rsid w:val="00720C7B"/>
    <w:rsid w:val="00742733"/>
    <w:rsid w:val="00761AE3"/>
    <w:rsid w:val="007623BA"/>
    <w:rsid w:val="00773044"/>
    <w:rsid w:val="007739FF"/>
    <w:rsid w:val="007932A1"/>
    <w:rsid w:val="00795B8D"/>
    <w:rsid w:val="00796AA7"/>
    <w:rsid w:val="00796E50"/>
    <w:rsid w:val="007A35D6"/>
    <w:rsid w:val="007A4DF1"/>
    <w:rsid w:val="007B0B31"/>
    <w:rsid w:val="007B1A76"/>
    <w:rsid w:val="007D238D"/>
    <w:rsid w:val="00813C95"/>
    <w:rsid w:val="00814BA6"/>
    <w:rsid w:val="008161BA"/>
    <w:rsid w:val="00823606"/>
    <w:rsid w:val="00827C09"/>
    <w:rsid w:val="00847590"/>
    <w:rsid w:val="00853A66"/>
    <w:rsid w:val="00864A2F"/>
    <w:rsid w:val="008730DB"/>
    <w:rsid w:val="00877732"/>
    <w:rsid w:val="00881A75"/>
    <w:rsid w:val="00881BE9"/>
    <w:rsid w:val="00893321"/>
    <w:rsid w:val="00895A9A"/>
    <w:rsid w:val="008A313F"/>
    <w:rsid w:val="008E4F80"/>
    <w:rsid w:val="008E665B"/>
    <w:rsid w:val="008F2808"/>
    <w:rsid w:val="008F315A"/>
    <w:rsid w:val="00913A88"/>
    <w:rsid w:val="00915BD3"/>
    <w:rsid w:val="009245A5"/>
    <w:rsid w:val="00924B97"/>
    <w:rsid w:val="00940E3A"/>
    <w:rsid w:val="00972ED8"/>
    <w:rsid w:val="00975EA8"/>
    <w:rsid w:val="00983910"/>
    <w:rsid w:val="00984E1D"/>
    <w:rsid w:val="009909EB"/>
    <w:rsid w:val="00991DAB"/>
    <w:rsid w:val="009A52C5"/>
    <w:rsid w:val="009B0294"/>
    <w:rsid w:val="009C09B2"/>
    <w:rsid w:val="009C23BF"/>
    <w:rsid w:val="009C495A"/>
    <w:rsid w:val="009D077F"/>
    <w:rsid w:val="009E2D17"/>
    <w:rsid w:val="009E6CBF"/>
    <w:rsid w:val="009F41B0"/>
    <w:rsid w:val="009F5021"/>
    <w:rsid w:val="009F7623"/>
    <w:rsid w:val="00A01580"/>
    <w:rsid w:val="00A12422"/>
    <w:rsid w:val="00A212D3"/>
    <w:rsid w:val="00A25CAC"/>
    <w:rsid w:val="00A279FA"/>
    <w:rsid w:val="00A33659"/>
    <w:rsid w:val="00A75486"/>
    <w:rsid w:val="00A804BF"/>
    <w:rsid w:val="00A81CC7"/>
    <w:rsid w:val="00A94356"/>
    <w:rsid w:val="00A943E5"/>
    <w:rsid w:val="00A954C3"/>
    <w:rsid w:val="00AD4C12"/>
    <w:rsid w:val="00AF443E"/>
    <w:rsid w:val="00B15D2F"/>
    <w:rsid w:val="00B33DD3"/>
    <w:rsid w:val="00B36FD0"/>
    <w:rsid w:val="00B41216"/>
    <w:rsid w:val="00B45613"/>
    <w:rsid w:val="00B5173A"/>
    <w:rsid w:val="00B52983"/>
    <w:rsid w:val="00B560BA"/>
    <w:rsid w:val="00B60102"/>
    <w:rsid w:val="00B62738"/>
    <w:rsid w:val="00B66504"/>
    <w:rsid w:val="00B70A99"/>
    <w:rsid w:val="00B759C7"/>
    <w:rsid w:val="00B80501"/>
    <w:rsid w:val="00B86AD2"/>
    <w:rsid w:val="00B86C87"/>
    <w:rsid w:val="00B87CBC"/>
    <w:rsid w:val="00BB73B4"/>
    <w:rsid w:val="00BC79EF"/>
    <w:rsid w:val="00BD32BC"/>
    <w:rsid w:val="00BE6668"/>
    <w:rsid w:val="00BE7464"/>
    <w:rsid w:val="00BE76B5"/>
    <w:rsid w:val="00C07BD6"/>
    <w:rsid w:val="00C12B20"/>
    <w:rsid w:val="00C14988"/>
    <w:rsid w:val="00C22F12"/>
    <w:rsid w:val="00C25D0D"/>
    <w:rsid w:val="00C271CC"/>
    <w:rsid w:val="00C35421"/>
    <w:rsid w:val="00C43415"/>
    <w:rsid w:val="00C44310"/>
    <w:rsid w:val="00C5133B"/>
    <w:rsid w:val="00C615AC"/>
    <w:rsid w:val="00C75B26"/>
    <w:rsid w:val="00C814BF"/>
    <w:rsid w:val="00C925F1"/>
    <w:rsid w:val="00C95E0C"/>
    <w:rsid w:val="00CC2F6E"/>
    <w:rsid w:val="00CD189F"/>
    <w:rsid w:val="00CD4163"/>
    <w:rsid w:val="00CF0862"/>
    <w:rsid w:val="00CF16AC"/>
    <w:rsid w:val="00CF7F14"/>
    <w:rsid w:val="00D00936"/>
    <w:rsid w:val="00D057ED"/>
    <w:rsid w:val="00D05FDD"/>
    <w:rsid w:val="00D10430"/>
    <w:rsid w:val="00D13ABE"/>
    <w:rsid w:val="00D16691"/>
    <w:rsid w:val="00D32A8E"/>
    <w:rsid w:val="00D44DB6"/>
    <w:rsid w:val="00D579D1"/>
    <w:rsid w:val="00D80D03"/>
    <w:rsid w:val="00D83847"/>
    <w:rsid w:val="00D94A14"/>
    <w:rsid w:val="00DA7731"/>
    <w:rsid w:val="00DB2F2B"/>
    <w:rsid w:val="00DC5385"/>
    <w:rsid w:val="00DC5A65"/>
    <w:rsid w:val="00DC638B"/>
    <w:rsid w:val="00DD5081"/>
    <w:rsid w:val="00DD5DB9"/>
    <w:rsid w:val="00DD779C"/>
    <w:rsid w:val="00DE1699"/>
    <w:rsid w:val="00DE674B"/>
    <w:rsid w:val="00E01B08"/>
    <w:rsid w:val="00E03E63"/>
    <w:rsid w:val="00E07224"/>
    <w:rsid w:val="00E07A8A"/>
    <w:rsid w:val="00E126C8"/>
    <w:rsid w:val="00E133AD"/>
    <w:rsid w:val="00E23D23"/>
    <w:rsid w:val="00E26315"/>
    <w:rsid w:val="00E263EC"/>
    <w:rsid w:val="00E30322"/>
    <w:rsid w:val="00E43B8F"/>
    <w:rsid w:val="00E55660"/>
    <w:rsid w:val="00E566A6"/>
    <w:rsid w:val="00E5702C"/>
    <w:rsid w:val="00E60070"/>
    <w:rsid w:val="00E65612"/>
    <w:rsid w:val="00E707D3"/>
    <w:rsid w:val="00E82E83"/>
    <w:rsid w:val="00E97D65"/>
    <w:rsid w:val="00EA1A7E"/>
    <w:rsid w:val="00ED2F2D"/>
    <w:rsid w:val="00EE0676"/>
    <w:rsid w:val="00F054C9"/>
    <w:rsid w:val="00F14EEB"/>
    <w:rsid w:val="00F239E0"/>
    <w:rsid w:val="00F308C8"/>
    <w:rsid w:val="00F52A9D"/>
    <w:rsid w:val="00F7311D"/>
    <w:rsid w:val="00F8279C"/>
    <w:rsid w:val="00F846D8"/>
    <w:rsid w:val="00F94156"/>
    <w:rsid w:val="00F97E0B"/>
    <w:rsid w:val="00FA64A3"/>
    <w:rsid w:val="00FB76F1"/>
    <w:rsid w:val="00FC2389"/>
    <w:rsid w:val="00FD5FC5"/>
    <w:rsid w:val="00FE2DA7"/>
    <w:rsid w:val="00FE480C"/>
    <w:rsid w:val="00FF50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E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C95"/>
    <w:pPr>
      <w:tabs>
        <w:tab w:val="center" w:pos="4320"/>
        <w:tab w:val="right" w:pos="8640"/>
      </w:tabs>
    </w:pPr>
  </w:style>
  <w:style w:type="character" w:customStyle="1" w:styleId="HeaderChar">
    <w:name w:val="Header Char"/>
    <w:basedOn w:val="DefaultParagraphFont"/>
    <w:link w:val="Header"/>
    <w:uiPriority w:val="99"/>
    <w:locked/>
    <w:rsid w:val="00604E36"/>
    <w:rPr>
      <w:rFonts w:cs="Times New Roman"/>
      <w:sz w:val="24"/>
      <w:szCs w:val="24"/>
    </w:rPr>
  </w:style>
  <w:style w:type="paragraph" w:styleId="Footer">
    <w:name w:val="footer"/>
    <w:basedOn w:val="Normal"/>
    <w:link w:val="FooterChar"/>
    <w:uiPriority w:val="99"/>
    <w:rsid w:val="00813C95"/>
    <w:pPr>
      <w:tabs>
        <w:tab w:val="center" w:pos="4320"/>
        <w:tab w:val="right" w:pos="8640"/>
      </w:tabs>
    </w:pPr>
  </w:style>
  <w:style w:type="character" w:customStyle="1" w:styleId="FooterChar">
    <w:name w:val="Footer Char"/>
    <w:basedOn w:val="DefaultParagraphFont"/>
    <w:link w:val="Footer"/>
    <w:uiPriority w:val="99"/>
    <w:locked/>
    <w:rsid w:val="00447879"/>
    <w:rPr>
      <w:rFonts w:cs="Times New Roman"/>
      <w:sz w:val="24"/>
      <w:szCs w:val="24"/>
    </w:rPr>
  </w:style>
  <w:style w:type="character" w:styleId="Hyperlink">
    <w:name w:val="Hyperlink"/>
    <w:basedOn w:val="DefaultParagraphFont"/>
    <w:uiPriority w:val="99"/>
    <w:rsid w:val="00813C95"/>
    <w:rPr>
      <w:rFonts w:cs="Times New Roman"/>
      <w:color w:val="0000FF"/>
      <w:u w:val="single"/>
    </w:rPr>
  </w:style>
  <w:style w:type="paragraph" w:styleId="BalloonText">
    <w:name w:val="Balloon Text"/>
    <w:basedOn w:val="Normal"/>
    <w:link w:val="BalloonTextChar"/>
    <w:uiPriority w:val="99"/>
    <w:semiHidden/>
    <w:rsid w:val="00BE76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F65"/>
    <w:rPr>
      <w:rFonts w:cs="Times New Roman"/>
      <w:sz w:val="2"/>
    </w:rPr>
  </w:style>
  <w:style w:type="character" w:styleId="PlaceholderText">
    <w:name w:val="Placeholder Text"/>
    <w:basedOn w:val="DefaultParagraphFont"/>
    <w:uiPriority w:val="99"/>
    <w:semiHidden/>
    <w:rsid w:val="006F6F52"/>
    <w:rPr>
      <w:rFonts w:cs="Times New Roman"/>
      <w:color w:val="808080"/>
    </w:rPr>
  </w:style>
  <w:style w:type="paragraph" w:styleId="FootnoteText">
    <w:name w:val="footnote text"/>
    <w:basedOn w:val="Normal"/>
    <w:link w:val="FootnoteTextChar"/>
    <w:uiPriority w:val="99"/>
    <w:rsid w:val="000001C0"/>
    <w:pPr>
      <w:widowControl w:val="0"/>
      <w:autoSpaceDE w:val="0"/>
      <w:autoSpaceDN w:val="0"/>
      <w:adjustRightInd w:val="0"/>
      <w:spacing w:line="240" w:lineRule="atLeast"/>
    </w:pPr>
    <w:rPr>
      <w:rFonts w:ascii="Courier New" w:hAnsi="Courier New" w:cs="Courier New"/>
    </w:rPr>
  </w:style>
  <w:style w:type="character" w:customStyle="1" w:styleId="FootnoteTextChar">
    <w:name w:val="Footnote Text Char"/>
    <w:basedOn w:val="DefaultParagraphFont"/>
    <w:link w:val="FootnoteText"/>
    <w:uiPriority w:val="99"/>
    <w:locked/>
    <w:rsid w:val="000001C0"/>
    <w:rPr>
      <w:rFonts w:ascii="Courier New" w:hAnsi="Courier New" w:cs="Courier New"/>
      <w:sz w:val="24"/>
      <w:szCs w:val="24"/>
    </w:rPr>
  </w:style>
  <w:style w:type="character" w:styleId="FootnoteReference">
    <w:name w:val="footnote reference"/>
    <w:basedOn w:val="DefaultParagraphFont"/>
    <w:uiPriority w:val="99"/>
    <w:rsid w:val="000001C0"/>
    <w:rPr>
      <w:rFonts w:cs="Times New Roman"/>
      <w:vertAlign w:val="superscript"/>
    </w:rPr>
  </w:style>
  <w:style w:type="paragraph" w:customStyle="1" w:styleId="Style1">
    <w:name w:val="Style1"/>
    <w:basedOn w:val="Normal"/>
    <w:uiPriority w:val="99"/>
    <w:rsid w:val="000001C0"/>
    <w:pPr>
      <w:spacing w:line="240" w:lineRule="atLeast"/>
    </w:pPr>
    <w:rPr>
      <w:rFonts w:ascii="Arial" w:hAnsi="Arial"/>
    </w:rPr>
  </w:style>
  <w:style w:type="paragraph" w:styleId="BodyText">
    <w:name w:val="Body Text"/>
    <w:basedOn w:val="Normal"/>
    <w:link w:val="BodyTextChar"/>
    <w:uiPriority w:val="99"/>
    <w:rsid w:val="000001C0"/>
    <w:pPr>
      <w:spacing w:after="120" w:line="240" w:lineRule="atLeast"/>
    </w:pPr>
    <w:rPr>
      <w:rFonts w:ascii="Arial" w:hAnsi="Arial"/>
      <w:sz w:val="20"/>
      <w:szCs w:val="20"/>
    </w:rPr>
  </w:style>
  <w:style w:type="character" w:customStyle="1" w:styleId="BodyTextChar">
    <w:name w:val="Body Text Char"/>
    <w:basedOn w:val="DefaultParagraphFont"/>
    <w:link w:val="BodyText"/>
    <w:uiPriority w:val="99"/>
    <w:locked/>
    <w:rsid w:val="000001C0"/>
    <w:rPr>
      <w:rFonts w:ascii="Arial" w:hAnsi="Arial" w:cs="Times New Roman"/>
    </w:rPr>
  </w:style>
  <w:style w:type="paragraph" w:styleId="ListParagraph">
    <w:name w:val="List Paragraph"/>
    <w:basedOn w:val="Normal"/>
    <w:uiPriority w:val="99"/>
    <w:qFormat/>
    <w:rsid w:val="009C23BF"/>
    <w:pPr>
      <w:ind w:left="720"/>
      <w:contextualSpacing/>
    </w:pPr>
  </w:style>
</w:styles>
</file>

<file path=word/webSettings.xml><?xml version="1.0" encoding="utf-8"?>
<w:webSettings xmlns:r="http://schemas.openxmlformats.org/officeDocument/2006/relationships" xmlns:w="http://schemas.openxmlformats.org/wordprocessingml/2006/main">
  <w:divs>
    <w:div w:id="233636023">
      <w:marLeft w:val="0"/>
      <w:marRight w:val="0"/>
      <w:marTop w:val="0"/>
      <w:marBottom w:val="0"/>
      <w:divBdr>
        <w:top w:val="none" w:sz="0" w:space="0" w:color="auto"/>
        <w:left w:val="none" w:sz="0" w:space="0" w:color="auto"/>
        <w:bottom w:val="none" w:sz="0" w:space="0" w:color="auto"/>
        <w:right w:val="none" w:sz="0" w:space="0" w:color="auto"/>
      </w:divBdr>
    </w:div>
    <w:div w:id="233636024">
      <w:marLeft w:val="0"/>
      <w:marRight w:val="0"/>
      <w:marTop w:val="0"/>
      <w:marBottom w:val="0"/>
      <w:divBdr>
        <w:top w:val="none" w:sz="0" w:space="0" w:color="auto"/>
        <w:left w:val="none" w:sz="0" w:space="0" w:color="auto"/>
        <w:bottom w:val="none" w:sz="0" w:space="0" w:color="auto"/>
        <w:right w:val="none" w:sz="0" w:space="0" w:color="auto"/>
      </w:divBdr>
    </w:div>
    <w:div w:id="233636026">
      <w:marLeft w:val="0"/>
      <w:marRight w:val="0"/>
      <w:marTop w:val="0"/>
      <w:marBottom w:val="0"/>
      <w:divBdr>
        <w:top w:val="none" w:sz="0" w:space="0" w:color="auto"/>
        <w:left w:val="none" w:sz="0" w:space="0" w:color="auto"/>
        <w:bottom w:val="none" w:sz="0" w:space="0" w:color="auto"/>
        <w:right w:val="none" w:sz="0" w:space="0" w:color="auto"/>
      </w:divBdr>
      <w:divsChild>
        <w:div w:id="233636025">
          <w:marLeft w:val="0"/>
          <w:marRight w:val="0"/>
          <w:marTop w:val="0"/>
          <w:marBottom w:val="0"/>
          <w:divBdr>
            <w:top w:val="none" w:sz="0" w:space="0" w:color="auto"/>
            <w:left w:val="none" w:sz="0" w:space="0" w:color="auto"/>
            <w:bottom w:val="none" w:sz="0" w:space="0" w:color="auto"/>
            <w:right w:val="none" w:sz="0" w:space="0" w:color="auto"/>
          </w:divBdr>
          <w:divsChild>
            <w:div w:id="233636027">
              <w:marLeft w:val="0"/>
              <w:marRight w:val="0"/>
              <w:marTop w:val="0"/>
              <w:marBottom w:val="0"/>
              <w:divBdr>
                <w:top w:val="none" w:sz="0" w:space="0" w:color="auto"/>
                <w:left w:val="none" w:sz="0" w:space="0" w:color="auto"/>
                <w:bottom w:val="none" w:sz="0" w:space="0" w:color="auto"/>
                <w:right w:val="none" w:sz="0" w:space="0" w:color="auto"/>
              </w:divBdr>
              <w:divsChild>
                <w:div w:id="233636021">
                  <w:marLeft w:val="0"/>
                  <w:marRight w:val="0"/>
                  <w:marTop w:val="0"/>
                  <w:marBottom w:val="0"/>
                  <w:divBdr>
                    <w:top w:val="none" w:sz="0" w:space="0" w:color="auto"/>
                    <w:left w:val="none" w:sz="0" w:space="0" w:color="auto"/>
                    <w:bottom w:val="none" w:sz="0" w:space="0" w:color="auto"/>
                    <w:right w:val="none" w:sz="0" w:space="0" w:color="auto"/>
                  </w:divBdr>
                  <w:divsChild>
                    <w:div w:id="233636020">
                      <w:marLeft w:val="210"/>
                      <w:marRight w:val="0"/>
                      <w:marTop w:val="300"/>
                      <w:marBottom w:val="0"/>
                      <w:divBdr>
                        <w:top w:val="none" w:sz="0" w:space="0" w:color="auto"/>
                        <w:left w:val="none" w:sz="0" w:space="0" w:color="auto"/>
                        <w:bottom w:val="none" w:sz="0" w:space="0" w:color="auto"/>
                        <w:right w:val="none" w:sz="0" w:space="0" w:color="auto"/>
                      </w:divBdr>
                      <w:divsChild>
                        <w:div w:id="233636019">
                          <w:marLeft w:val="0"/>
                          <w:marRight w:val="0"/>
                          <w:marTop w:val="0"/>
                          <w:marBottom w:val="300"/>
                          <w:divBdr>
                            <w:top w:val="none" w:sz="0" w:space="0" w:color="auto"/>
                            <w:left w:val="none" w:sz="0" w:space="0" w:color="auto"/>
                            <w:bottom w:val="none" w:sz="0" w:space="0" w:color="auto"/>
                            <w:right w:val="none" w:sz="0" w:space="0" w:color="auto"/>
                          </w:divBdr>
                          <w:divsChild>
                            <w:div w:id="2336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6</Pages>
  <Words>1794</Words>
  <Characters>10227</Characters>
  <Application>Microsoft Office Outlook</Application>
  <DocSecurity>0</DocSecurity>
  <Lines>0</Lines>
  <Paragraphs>0</Paragraphs>
  <ScaleCrop>false</ScaleCrop>
  <Company>DOWL HKM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WORK PLAN:  May 13, 2011</dc:title>
  <dc:subject/>
  <dc:creator>Sandra Dooley</dc:creator>
  <cp:keywords/>
  <dc:description/>
  <cp:lastModifiedBy>Vicki Gerken</cp:lastModifiedBy>
  <cp:revision>17</cp:revision>
  <cp:lastPrinted>2011-05-16T22:40:00Z</cp:lastPrinted>
  <dcterms:created xsi:type="dcterms:W3CDTF">2011-05-13T00:33:00Z</dcterms:created>
  <dcterms:modified xsi:type="dcterms:W3CDTF">2011-05-17T18:21:00Z</dcterms:modified>
</cp:coreProperties>
</file>